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B50C9" w14:textId="77777777" w:rsidR="005F5852" w:rsidRPr="00611624" w:rsidRDefault="008A24B0" w:rsidP="008A24B0">
      <w:pPr>
        <w:jc w:val="center"/>
        <w:rPr>
          <w:b/>
          <w:sz w:val="22"/>
        </w:rPr>
      </w:pPr>
      <w:r w:rsidRPr="00611624">
        <w:rPr>
          <w:b/>
          <w:sz w:val="22"/>
        </w:rPr>
        <w:t xml:space="preserve">                      </w:t>
      </w:r>
      <w:r w:rsidR="005F5852" w:rsidRPr="00611624">
        <w:rPr>
          <w:b/>
          <w:sz w:val="22"/>
        </w:rPr>
        <w:t>Réunion du Conseil Scientifique du REIN</w:t>
      </w:r>
    </w:p>
    <w:p w14:paraId="32071779" w14:textId="77777777" w:rsidR="005F5852" w:rsidRPr="00611624" w:rsidRDefault="005F5852" w:rsidP="008A24B0">
      <w:pPr>
        <w:jc w:val="center"/>
        <w:rPr>
          <w:b/>
          <w:sz w:val="22"/>
        </w:rPr>
      </w:pPr>
    </w:p>
    <w:p w14:paraId="551C3860" w14:textId="0159C97C" w:rsidR="005F5852" w:rsidRPr="00611624" w:rsidRDefault="000C6547" w:rsidP="008A24B0">
      <w:pPr>
        <w:jc w:val="center"/>
        <w:rPr>
          <w:b/>
          <w:sz w:val="22"/>
        </w:rPr>
      </w:pPr>
      <w:r>
        <w:rPr>
          <w:b/>
          <w:sz w:val="22"/>
        </w:rPr>
        <w:t xml:space="preserve">LE </w:t>
      </w:r>
      <w:r w:rsidR="00285DC6">
        <w:rPr>
          <w:b/>
          <w:sz w:val="22"/>
        </w:rPr>
        <w:t>MERCREDI</w:t>
      </w:r>
      <w:r w:rsidR="00040246">
        <w:rPr>
          <w:b/>
          <w:sz w:val="22"/>
        </w:rPr>
        <w:t xml:space="preserve"> </w:t>
      </w:r>
      <w:r w:rsidR="00285DC6">
        <w:rPr>
          <w:b/>
          <w:sz w:val="22"/>
        </w:rPr>
        <w:t>26 mars</w:t>
      </w:r>
      <w:r w:rsidR="000A5572">
        <w:rPr>
          <w:b/>
          <w:sz w:val="22"/>
        </w:rPr>
        <w:t xml:space="preserve"> 202</w:t>
      </w:r>
      <w:r w:rsidR="00285DC6">
        <w:rPr>
          <w:b/>
          <w:sz w:val="22"/>
        </w:rPr>
        <w:t>5</w:t>
      </w:r>
    </w:p>
    <w:p w14:paraId="36AB964A" w14:textId="77777777" w:rsidR="005F5852" w:rsidRPr="00611624" w:rsidRDefault="005F5852" w:rsidP="008A24B0">
      <w:pPr>
        <w:jc w:val="center"/>
        <w:rPr>
          <w:b/>
          <w:sz w:val="22"/>
        </w:rPr>
      </w:pPr>
    </w:p>
    <w:p w14:paraId="6FB15F6F" w14:textId="77777777" w:rsidR="005F5852" w:rsidRDefault="00502787" w:rsidP="008A24B0">
      <w:pPr>
        <w:jc w:val="center"/>
        <w:rPr>
          <w:b/>
          <w:sz w:val="22"/>
        </w:rPr>
      </w:pPr>
      <w:r>
        <w:rPr>
          <w:b/>
          <w:sz w:val="22"/>
        </w:rPr>
        <w:t>Résumé synthétique</w:t>
      </w:r>
    </w:p>
    <w:p w14:paraId="02A71B44" w14:textId="77777777" w:rsidR="005A14D0" w:rsidRPr="00611624" w:rsidRDefault="005A14D0" w:rsidP="008A24B0">
      <w:pPr>
        <w:jc w:val="center"/>
        <w:rPr>
          <w:b/>
          <w:sz w:val="22"/>
        </w:rPr>
      </w:pPr>
    </w:p>
    <w:p w14:paraId="5133AC98" w14:textId="4E551A15" w:rsidR="00040246" w:rsidRDefault="00040246" w:rsidP="00146361">
      <w:pPr>
        <w:spacing w:after="240" w:line="276" w:lineRule="auto"/>
        <w:jc w:val="both"/>
        <w:rPr>
          <w:rFonts w:ascii="Arial" w:hAnsi="Arial" w:cs="Times"/>
          <w:sz w:val="22"/>
          <w:szCs w:val="38"/>
        </w:rPr>
      </w:pPr>
      <w:r>
        <w:rPr>
          <w:rFonts w:ascii="Arial" w:hAnsi="Arial" w:cs="Times"/>
          <w:sz w:val="22"/>
          <w:szCs w:val="38"/>
        </w:rPr>
        <w:t xml:space="preserve">Le conseil Scientifique REIN s’est réuni par visioconférence </w:t>
      </w:r>
      <w:r w:rsidR="000A5572">
        <w:rPr>
          <w:rFonts w:ascii="Arial" w:hAnsi="Arial" w:cs="Times"/>
          <w:sz w:val="22"/>
          <w:szCs w:val="38"/>
        </w:rPr>
        <w:t>une première fois le 9 décembre 202</w:t>
      </w:r>
      <w:r w:rsidR="00285DC6">
        <w:rPr>
          <w:rFonts w:ascii="Arial" w:hAnsi="Arial" w:cs="Times"/>
          <w:sz w:val="22"/>
          <w:szCs w:val="38"/>
        </w:rPr>
        <w:t>4</w:t>
      </w:r>
      <w:r w:rsidR="000A5572">
        <w:rPr>
          <w:rFonts w:ascii="Arial" w:hAnsi="Arial" w:cs="Times"/>
          <w:sz w:val="22"/>
          <w:szCs w:val="38"/>
        </w:rPr>
        <w:t xml:space="preserve"> puis le </w:t>
      </w:r>
      <w:r w:rsidR="00285DC6">
        <w:rPr>
          <w:rFonts w:ascii="Arial" w:hAnsi="Arial" w:cs="Times"/>
          <w:sz w:val="22"/>
          <w:szCs w:val="38"/>
        </w:rPr>
        <w:t>26 mars 2025</w:t>
      </w:r>
      <w:r w:rsidR="001D0AD9">
        <w:rPr>
          <w:rFonts w:ascii="Arial" w:hAnsi="Arial" w:cs="Times"/>
          <w:sz w:val="22"/>
          <w:szCs w:val="38"/>
        </w:rPr>
        <w:t xml:space="preserve"> dans le cadre du </w:t>
      </w:r>
      <w:r w:rsidR="001D0AD9" w:rsidRPr="001D0AD9">
        <w:rPr>
          <w:rFonts w:ascii="Arial" w:hAnsi="Arial" w:cs="Times"/>
          <w:b/>
          <w:sz w:val="22"/>
          <w:szCs w:val="38"/>
        </w:rPr>
        <w:t>1</w:t>
      </w:r>
      <w:r w:rsidR="00B04B61">
        <w:rPr>
          <w:rFonts w:ascii="Arial" w:hAnsi="Arial" w:cs="Times"/>
          <w:b/>
          <w:sz w:val="22"/>
          <w:szCs w:val="38"/>
        </w:rPr>
        <w:t>7</w:t>
      </w:r>
      <w:r w:rsidR="001D0AD9" w:rsidRPr="001D0AD9">
        <w:rPr>
          <w:rFonts w:ascii="Arial" w:hAnsi="Arial" w:cs="Times"/>
          <w:b/>
          <w:sz w:val="22"/>
          <w:szCs w:val="38"/>
          <w:vertAlign w:val="superscript"/>
        </w:rPr>
        <w:t>ième</w:t>
      </w:r>
      <w:r w:rsidR="001D0AD9" w:rsidRPr="001D0AD9">
        <w:rPr>
          <w:rFonts w:ascii="Arial" w:hAnsi="Arial" w:cs="Times"/>
          <w:b/>
          <w:sz w:val="22"/>
          <w:szCs w:val="38"/>
        </w:rPr>
        <w:t xml:space="preserve"> </w:t>
      </w:r>
      <w:r w:rsidR="000A5572" w:rsidRPr="001D0AD9">
        <w:rPr>
          <w:rFonts w:ascii="Arial" w:hAnsi="Arial" w:cs="Times"/>
          <w:b/>
          <w:sz w:val="22"/>
          <w:szCs w:val="38"/>
        </w:rPr>
        <w:t>A</w:t>
      </w:r>
      <w:r w:rsidR="000A5572" w:rsidRPr="000A5572">
        <w:rPr>
          <w:rFonts w:ascii="Arial" w:hAnsi="Arial" w:cs="Times"/>
          <w:b/>
          <w:sz w:val="22"/>
          <w:szCs w:val="38"/>
        </w:rPr>
        <w:t>ppel d’Offre Recherche</w:t>
      </w:r>
      <w:r>
        <w:rPr>
          <w:rFonts w:ascii="Arial" w:hAnsi="Arial" w:cs="Times"/>
          <w:sz w:val="22"/>
          <w:szCs w:val="38"/>
        </w:rPr>
        <w:t>.</w:t>
      </w:r>
    </w:p>
    <w:p w14:paraId="26E2A285" w14:textId="612D5D97" w:rsidR="000A5572" w:rsidRDefault="00025C6B" w:rsidP="000A5572">
      <w:pPr>
        <w:rPr>
          <w:rFonts w:ascii="Arial" w:hAnsi="Arial" w:cs="Times"/>
          <w:sz w:val="22"/>
          <w:szCs w:val="38"/>
        </w:rPr>
      </w:pPr>
      <w:r>
        <w:rPr>
          <w:rFonts w:ascii="Arial" w:hAnsi="Arial" w:cs="Times"/>
          <w:sz w:val="22"/>
          <w:szCs w:val="38"/>
        </w:rPr>
        <w:t>Quinze</w:t>
      </w:r>
      <w:r w:rsidR="000A5572">
        <w:rPr>
          <w:rFonts w:ascii="Arial" w:hAnsi="Arial" w:cs="Times"/>
          <w:sz w:val="22"/>
          <w:szCs w:val="38"/>
        </w:rPr>
        <w:t xml:space="preserve"> lettres d’intention pour l’AOR REIN </w:t>
      </w:r>
      <w:r w:rsidR="001D0AD9">
        <w:rPr>
          <w:rFonts w:ascii="Arial" w:hAnsi="Arial" w:cs="Times"/>
          <w:sz w:val="22"/>
          <w:szCs w:val="38"/>
        </w:rPr>
        <w:t>aveint</w:t>
      </w:r>
      <w:r w:rsidR="000A5572">
        <w:rPr>
          <w:rFonts w:ascii="Arial" w:hAnsi="Arial" w:cs="Times"/>
          <w:sz w:val="22"/>
          <w:szCs w:val="38"/>
        </w:rPr>
        <w:t xml:space="preserve"> déposées.</w:t>
      </w:r>
    </w:p>
    <w:p w14:paraId="7130BD41" w14:textId="77777777" w:rsidR="001D0AD9" w:rsidRDefault="001D0AD9" w:rsidP="000A5572">
      <w:pPr>
        <w:rPr>
          <w:rFonts w:ascii="Arial" w:hAnsi="Arial" w:cs="Times"/>
          <w:sz w:val="22"/>
          <w:szCs w:val="38"/>
        </w:rPr>
      </w:pPr>
    </w:p>
    <w:p w14:paraId="1AF6CDB5" w14:textId="68CCB111" w:rsidR="000A5572" w:rsidRDefault="000A5572" w:rsidP="000A5572">
      <w:pPr>
        <w:rPr>
          <w:rFonts w:ascii="Arial" w:hAnsi="Arial" w:cs="Times"/>
          <w:sz w:val="22"/>
          <w:szCs w:val="38"/>
        </w:rPr>
      </w:pPr>
      <w:r>
        <w:rPr>
          <w:rFonts w:ascii="Arial" w:hAnsi="Arial" w:cs="Times"/>
          <w:sz w:val="22"/>
          <w:szCs w:val="38"/>
        </w:rPr>
        <w:t xml:space="preserve">Le </w:t>
      </w:r>
      <w:r w:rsidR="00025C6B">
        <w:rPr>
          <w:rFonts w:ascii="Arial" w:hAnsi="Arial" w:cs="Times"/>
          <w:sz w:val="22"/>
          <w:szCs w:val="38"/>
        </w:rPr>
        <w:t>9</w:t>
      </w:r>
      <w:r>
        <w:rPr>
          <w:rFonts w:ascii="Arial" w:hAnsi="Arial" w:cs="Times"/>
          <w:sz w:val="22"/>
          <w:szCs w:val="38"/>
        </w:rPr>
        <w:t xml:space="preserve"> décembre dernier, les porteurs de lettre d’intention ont été auditionnés afin de leur permettre de préciser leur projet</w:t>
      </w:r>
      <w:r w:rsidR="001D0AD9">
        <w:rPr>
          <w:rFonts w:ascii="Arial" w:hAnsi="Arial" w:cs="Times"/>
          <w:sz w:val="22"/>
          <w:szCs w:val="38"/>
        </w:rPr>
        <w:t>,</w:t>
      </w:r>
      <w:r>
        <w:rPr>
          <w:rFonts w:ascii="Arial" w:hAnsi="Arial" w:cs="Times"/>
          <w:sz w:val="22"/>
          <w:szCs w:val="38"/>
        </w:rPr>
        <w:t xml:space="preserve"> de répondre aux questions des membres du conseil scientifique</w:t>
      </w:r>
      <w:r w:rsidR="001D0AD9">
        <w:rPr>
          <w:rFonts w:ascii="Arial" w:hAnsi="Arial" w:cs="Times"/>
          <w:sz w:val="22"/>
          <w:szCs w:val="38"/>
        </w:rPr>
        <w:t xml:space="preserve"> dans le but de les aider à rédiger leur projet finalisé</w:t>
      </w:r>
      <w:r>
        <w:rPr>
          <w:rFonts w:ascii="Arial" w:hAnsi="Arial" w:cs="Times"/>
          <w:sz w:val="22"/>
          <w:szCs w:val="38"/>
        </w:rPr>
        <w:t>.</w:t>
      </w:r>
    </w:p>
    <w:p w14:paraId="30D9EB35" w14:textId="77777777" w:rsidR="001D0AD9" w:rsidRDefault="001D0AD9" w:rsidP="000A5572">
      <w:pPr>
        <w:rPr>
          <w:rFonts w:ascii="Arial" w:hAnsi="Arial" w:cs="Times"/>
          <w:sz w:val="22"/>
          <w:szCs w:val="38"/>
        </w:rPr>
      </w:pPr>
    </w:p>
    <w:p w14:paraId="47AAF473" w14:textId="4117B322" w:rsidR="000A5572" w:rsidRDefault="000A5572" w:rsidP="000A5572">
      <w:pPr>
        <w:rPr>
          <w:rFonts w:ascii="Arial" w:hAnsi="Arial" w:cs="Times"/>
          <w:sz w:val="22"/>
          <w:szCs w:val="38"/>
        </w:rPr>
      </w:pPr>
      <w:r>
        <w:rPr>
          <w:rFonts w:ascii="Arial" w:hAnsi="Arial" w:cs="Times"/>
          <w:sz w:val="22"/>
          <w:szCs w:val="38"/>
        </w:rPr>
        <w:t>Finalement</w:t>
      </w:r>
      <w:r w:rsidRPr="000A5572">
        <w:rPr>
          <w:rFonts w:ascii="Arial" w:hAnsi="Arial" w:cs="Times"/>
          <w:sz w:val="22"/>
          <w:szCs w:val="38"/>
        </w:rPr>
        <w:t xml:space="preserve">, ce sont </w:t>
      </w:r>
      <w:r w:rsidR="00025C6B">
        <w:rPr>
          <w:rFonts w:ascii="Arial" w:hAnsi="Arial" w:cs="Times"/>
          <w:sz w:val="22"/>
          <w:szCs w:val="38"/>
        </w:rPr>
        <w:t>9</w:t>
      </w:r>
      <w:r w:rsidRPr="000A5572">
        <w:rPr>
          <w:rFonts w:ascii="Arial" w:hAnsi="Arial" w:cs="Times"/>
          <w:sz w:val="22"/>
          <w:szCs w:val="38"/>
        </w:rPr>
        <w:t xml:space="preserve"> projets qui ont été évalués par des experts extérieurs.</w:t>
      </w:r>
    </w:p>
    <w:p w14:paraId="19337996" w14:textId="77777777" w:rsidR="001D0AD9" w:rsidRPr="000A5572" w:rsidRDefault="001D0AD9" w:rsidP="000A5572">
      <w:pPr>
        <w:rPr>
          <w:rFonts w:ascii="Arial" w:hAnsi="Arial" w:cs="Times"/>
          <w:sz w:val="22"/>
          <w:szCs w:val="38"/>
        </w:rPr>
      </w:pPr>
    </w:p>
    <w:p w14:paraId="0470C469" w14:textId="14706D47" w:rsidR="000A5572" w:rsidRDefault="000A5572" w:rsidP="000A5572">
      <w:pPr>
        <w:rPr>
          <w:rFonts w:ascii="Arial" w:hAnsi="Arial" w:cs="Times"/>
          <w:sz w:val="22"/>
          <w:szCs w:val="38"/>
        </w:rPr>
      </w:pPr>
      <w:r w:rsidRPr="000A5572">
        <w:rPr>
          <w:rFonts w:ascii="Arial" w:hAnsi="Arial" w:cs="Times"/>
          <w:sz w:val="22"/>
          <w:szCs w:val="38"/>
        </w:rPr>
        <w:t xml:space="preserve">Basés sur leurs commentaires et sur la somme à répartir, ce sont seulement </w:t>
      </w:r>
      <w:r w:rsidR="00F33C04">
        <w:rPr>
          <w:rFonts w:ascii="Arial" w:hAnsi="Arial" w:cs="Times"/>
          <w:sz w:val="22"/>
          <w:szCs w:val="38"/>
        </w:rPr>
        <w:t>8</w:t>
      </w:r>
      <w:r w:rsidRPr="000A5572">
        <w:rPr>
          <w:rFonts w:ascii="Arial" w:hAnsi="Arial" w:cs="Times"/>
          <w:sz w:val="22"/>
          <w:szCs w:val="38"/>
        </w:rPr>
        <w:t xml:space="preserve"> projets qui pourront être financés.</w:t>
      </w:r>
    </w:p>
    <w:p w14:paraId="4015D963" w14:textId="77777777" w:rsidR="001D0AD9" w:rsidRPr="000A5572" w:rsidRDefault="001D0AD9" w:rsidP="000A5572">
      <w:pPr>
        <w:rPr>
          <w:rFonts w:ascii="Arial" w:hAnsi="Arial" w:cs="Times"/>
          <w:sz w:val="22"/>
          <w:szCs w:val="38"/>
        </w:rPr>
      </w:pP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8"/>
        <w:gridCol w:w="2586"/>
        <w:gridCol w:w="4178"/>
        <w:gridCol w:w="879"/>
      </w:tblGrid>
      <w:tr w:rsidR="00025C6B" w:rsidRPr="00025C6B" w14:paraId="65C412F3" w14:textId="77777777" w:rsidTr="00F33C04">
        <w:trPr>
          <w:trHeight w:val="1152"/>
        </w:trPr>
        <w:tc>
          <w:tcPr>
            <w:tcW w:w="913" w:type="pct"/>
            <w:shd w:val="clear" w:color="auto" w:fill="auto"/>
            <w:vAlign w:val="center"/>
          </w:tcPr>
          <w:p w14:paraId="72DE7A10" w14:textId="444BA530" w:rsidR="00025C6B" w:rsidRPr="00025C6B" w:rsidRDefault="00025C6B" w:rsidP="00025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6B">
              <w:rPr>
                <w:rFonts w:ascii="Arial" w:hAnsi="Arial" w:cs="Arial"/>
                <w:sz w:val="20"/>
                <w:szCs w:val="20"/>
              </w:rPr>
              <w:t>NEZAM Dorian</w:t>
            </w:r>
          </w:p>
        </w:tc>
        <w:tc>
          <w:tcPr>
            <w:tcW w:w="1383" w:type="pct"/>
            <w:shd w:val="clear" w:color="auto" w:fill="auto"/>
            <w:vAlign w:val="center"/>
            <w:hideMark/>
          </w:tcPr>
          <w:p w14:paraId="5BFD9C71" w14:textId="7CBAEB00" w:rsidR="00025C6B" w:rsidRPr="00025C6B" w:rsidRDefault="00025C6B" w:rsidP="00025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6B">
              <w:rPr>
                <w:rFonts w:ascii="Arial" w:hAnsi="Arial" w:cs="Arial"/>
                <w:sz w:val="20"/>
                <w:szCs w:val="20"/>
              </w:rPr>
              <w:t>ANIDER Rouen</w:t>
            </w:r>
            <w:r w:rsidRPr="00025C6B">
              <w:rPr>
                <w:rFonts w:ascii="Arial" w:hAnsi="Arial" w:cs="Arial"/>
                <w:sz w:val="20"/>
                <w:szCs w:val="20"/>
              </w:rPr>
              <w:br/>
              <w:t>18 rue Marie Curie 76000 Rouen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2B6772CB" w14:textId="7E3D2CD2" w:rsidR="00025C6B" w:rsidRPr="00025C6B" w:rsidRDefault="00025C6B" w:rsidP="00025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6B">
              <w:rPr>
                <w:rFonts w:ascii="Arial" w:hAnsi="Arial" w:cs="Arial"/>
                <w:sz w:val="20"/>
                <w:szCs w:val="20"/>
              </w:rPr>
              <w:t>Etat des lieux de l’hémodialyse longue nocturne en France en 2025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3AABA41F" w14:textId="10DA82BD" w:rsidR="00025C6B" w:rsidRPr="00025C6B" w:rsidRDefault="00F33C04" w:rsidP="00025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F33C04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25C6B" w:rsidRPr="00025C6B" w14:paraId="16C83657" w14:textId="77777777" w:rsidTr="00F33C04">
        <w:trPr>
          <w:trHeight w:val="864"/>
        </w:trPr>
        <w:tc>
          <w:tcPr>
            <w:tcW w:w="913" w:type="pct"/>
            <w:shd w:val="clear" w:color="auto" w:fill="auto"/>
            <w:vAlign w:val="center"/>
          </w:tcPr>
          <w:p w14:paraId="2E17DE61" w14:textId="250D0652" w:rsidR="00025C6B" w:rsidRPr="00025C6B" w:rsidRDefault="00025C6B" w:rsidP="00025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6B">
              <w:rPr>
                <w:rFonts w:ascii="Arial" w:hAnsi="Arial" w:cs="Arial"/>
                <w:sz w:val="20"/>
                <w:szCs w:val="20"/>
              </w:rPr>
              <w:t>LOBBEDEZ Thierry</w:t>
            </w:r>
          </w:p>
        </w:tc>
        <w:tc>
          <w:tcPr>
            <w:tcW w:w="1383" w:type="pct"/>
            <w:shd w:val="clear" w:color="auto" w:fill="auto"/>
            <w:vAlign w:val="center"/>
            <w:hideMark/>
          </w:tcPr>
          <w:p w14:paraId="64BAEA81" w14:textId="21CF8B77" w:rsidR="00025C6B" w:rsidRPr="00025C6B" w:rsidRDefault="00025C6B" w:rsidP="00025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6B">
              <w:rPr>
                <w:rFonts w:ascii="Arial" w:hAnsi="Arial" w:cs="Arial"/>
                <w:sz w:val="20"/>
                <w:szCs w:val="20"/>
              </w:rPr>
              <w:t xml:space="preserve">UMR 1086 ANTICIPE, Université de Caen Normandie, UFR Santé, CHU CAEN 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71C34AB3" w14:textId="2F6439E7" w:rsidR="00025C6B" w:rsidRPr="00025C6B" w:rsidRDefault="00025C6B" w:rsidP="00025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6B">
              <w:rPr>
                <w:rFonts w:ascii="Arial" w:hAnsi="Arial" w:cs="Arial"/>
                <w:sz w:val="20"/>
                <w:szCs w:val="20"/>
              </w:rPr>
              <w:t>Le sexe est-il associé au choix de la modalité de dialyse au début du traitement par épuration extrarénale ?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6C15AE2F" w14:textId="5D5C6DBB" w:rsidR="00025C6B" w:rsidRPr="00025C6B" w:rsidRDefault="00F33C04" w:rsidP="00025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F33C04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25C6B" w:rsidRPr="00025C6B" w14:paraId="264136C4" w14:textId="77777777" w:rsidTr="00F33C04">
        <w:trPr>
          <w:trHeight w:val="576"/>
        </w:trPr>
        <w:tc>
          <w:tcPr>
            <w:tcW w:w="913" w:type="pct"/>
            <w:shd w:val="clear" w:color="auto" w:fill="auto"/>
            <w:vAlign w:val="center"/>
          </w:tcPr>
          <w:p w14:paraId="19D9656D" w14:textId="7FB83022" w:rsidR="00025C6B" w:rsidRPr="00025C6B" w:rsidRDefault="00025C6B" w:rsidP="00025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6B">
              <w:rPr>
                <w:rFonts w:ascii="Arial" w:hAnsi="Arial" w:cs="Arial"/>
                <w:sz w:val="20"/>
                <w:szCs w:val="20"/>
              </w:rPr>
              <w:t>HANNEDOUCHE Thierry</w:t>
            </w:r>
          </w:p>
        </w:tc>
        <w:tc>
          <w:tcPr>
            <w:tcW w:w="1383" w:type="pct"/>
            <w:shd w:val="clear" w:color="auto" w:fill="auto"/>
            <w:vAlign w:val="center"/>
            <w:hideMark/>
          </w:tcPr>
          <w:p w14:paraId="4414B474" w14:textId="7A610122" w:rsidR="00025C6B" w:rsidRPr="00025C6B" w:rsidRDefault="00025C6B" w:rsidP="00025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6B">
              <w:rPr>
                <w:rFonts w:ascii="Arial" w:hAnsi="Arial" w:cs="Arial"/>
                <w:sz w:val="20"/>
                <w:szCs w:val="20"/>
              </w:rPr>
              <w:t xml:space="preserve">Unité de Recherche Clinique </w:t>
            </w:r>
            <w:r w:rsidRPr="00025C6B">
              <w:rPr>
                <w:rFonts w:ascii="Arial" w:hAnsi="Arial" w:cs="Arial"/>
                <w:sz w:val="20"/>
                <w:szCs w:val="20"/>
              </w:rPr>
              <w:br/>
              <w:t>AURAL-Strasbourg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695BA645" w14:textId="4202FE35" w:rsidR="00025C6B" w:rsidRPr="00025C6B" w:rsidRDefault="00025C6B" w:rsidP="00025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6B">
              <w:rPr>
                <w:rFonts w:ascii="Arial" w:hAnsi="Arial" w:cs="Arial"/>
                <w:sz w:val="20"/>
                <w:szCs w:val="20"/>
              </w:rPr>
              <w:t>Effets du traitement diurétique sur les conditions de reprise de la dialyse chez des patients transplantés rénaux au stade G5T (DIUTX)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7C06A6FD" w14:textId="53F4E1DB" w:rsidR="00025C6B" w:rsidRPr="00025C6B" w:rsidRDefault="00F33C04" w:rsidP="00025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C04">
              <w:rPr>
                <w:rFonts w:ascii="Arial" w:hAnsi="Arial" w:cs="Arial"/>
                <w:sz w:val="20"/>
                <w:szCs w:val="20"/>
              </w:rPr>
              <w:t>5000</w:t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25C6B" w:rsidRPr="00025C6B" w14:paraId="1D1856E8" w14:textId="77777777" w:rsidTr="00F33C04">
        <w:trPr>
          <w:trHeight w:val="576"/>
        </w:trPr>
        <w:tc>
          <w:tcPr>
            <w:tcW w:w="913" w:type="pct"/>
            <w:shd w:val="clear" w:color="auto" w:fill="auto"/>
            <w:vAlign w:val="center"/>
          </w:tcPr>
          <w:p w14:paraId="2EDEC49C" w14:textId="581B78F8" w:rsidR="00025C6B" w:rsidRPr="00025C6B" w:rsidRDefault="00025C6B" w:rsidP="00025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25C6B">
              <w:rPr>
                <w:rFonts w:ascii="Arial" w:hAnsi="Arial" w:cs="Arial"/>
                <w:sz w:val="20"/>
                <w:szCs w:val="20"/>
              </w:rPr>
              <w:t>JAIS Jean-Philippe</w:t>
            </w:r>
            <w:proofErr w:type="gramEnd"/>
            <w:r w:rsidRPr="00025C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3" w:type="pct"/>
            <w:shd w:val="clear" w:color="auto" w:fill="auto"/>
            <w:vAlign w:val="center"/>
            <w:hideMark/>
          </w:tcPr>
          <w:p w14:paraId="3329727C" w14:textId="1505E4EC" w:rsidR="00025C6B" w:rsidRPr="00025C6B" w:rsidRDefault="00025C6B" w:rsidP="00025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6B">
              <w:rPr>
                <w:rFonts w:ascii="Arial" w:hAnsi="Arial" w:cs="Arial"/>
                <w:sz w:val="20"/>
                <w:szCs w:val="20"/>
              </w:rPr>
              <w:t xml:space="preserve">Unité de Biostatistique </w:t>
            </w:r>
            <w:r w:rsidRPr="00025C6B">
              <w:rPr>
                <w:rFonts w:ascii="Arial" w:hAnsi="Arial" w:cs="Arial"/>
                <w:sz w:val="20"/>
                <w:szCs w:val="20"/>
              </w:rPr>
              <w:br/>
              <w:t>Hôpital Necker-Enfants Malades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5819C268" w14:textId="15CA5E6F" w:rsidR="00025C6B" w:rsidRPr="00025C6B" w:rsidRDefault="00025C6B" w:rsidP="00025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6B">
              <w:rPr>
                <w:rFonts w:ascii="Arial" w:hAnsi="Arial" w:cs="Arial"/>
                <w:sz w:val="20"/>
                <w:szCs w:val="20"/>
              </w:rPr>
              <w:t>La grossesse chez les patientes en dialyse chronique, étude comparative entre les données Françaises et Australiennes (2015-2023)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6F43F4EF" w14:textId="7008B782" w:rsidR="00025C6B" w:rsidRPr="00025C6B" w:rsidRDefault="00F33C04" w:rsidP="00025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F33C04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25C6B" w:rsidRPr="00025C6B" w14:paraId="20CAC16B" w14:textId="77777777" w:rsidTr="00F33C04">
        <w:trPr>
          <w:trHeight w:val="576"/>
        </w:trPr>
        <w:tc>
          <w:tcPr>
            <w:tcW w:w="913" w:type="pct"/>
            <w:shd w:val="clear" w:color="auto" w:fill="auto"/>
            <w:vAlign w:val="center"/>
          </w:tcPr>
          <w:p w14:paraId="26946374" w14:textId="30FC9C3C" w:rsidR="00025C6B" w:rsidRPr="00025C6B" w:rsidRDefault="00025C6B" w:rsidP="00025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6B">
              <w:rPr>
                <w:rFonts w:ascii="Arial" w:hAnsi="Arial" w:cs="Arial"/>
                <w:sz w:val="20"/>
                <w:szCs w:val="20"/>
              </w:rPr>
              <w:t>MORANNE Olivier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25B81AEE" w14:textId="1E2BEF67" w:rsidR="00025C6B" w:rsidRPr="00025C6B" w:rsidRDefault="00025C6B" w:rsidP="00025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6B">
              <w:rPr>
                <w:rFonts w:ascii="Arial" w:hAnsi="Arial" w:cs="Arial"/>
                <w:sz w:val="20"/>
                <w:szCs w:val="20"/>
              </w:rPr>
              <w:t>CHU NIMES</w:t>
            </w:r>
          </w:p>
        </w:tc>
        <w:tc>
          <w:tcPr>
            <w:tcW w:w="2234" w:type="pct"/>
            <w:shd w:val="clear" w:color="auto" w:fill="auto"/>
            <w:vAlign w:val="center"/>
          </w:tcPr>
          <w:p w14:paraId="22EDE25F" w14:textId="0F95859E" w:rsidR="00025C6B" w:rsidRPr="00025C6B" w:rsidRDefault="00025C6B" w:rsidP="00025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6B">
              <w:rPr>
                <w:rFonts w:ascii="Arial" w:hAnsi="Arial" w:cs="Arial"/>
                <w:sz w:val="20"/>
                <w:szCs w:val="20"/>
              </w:rPr>
              <w:t>Evaluation des scores pronostics de mortalité en dialyse REIN dans la cohorte MRC45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1B121C0C" w14:textId="4BF736F6" w:rsidR="00025C6B" w:rsidRPr="00025C6B" w:rsidRDefault="00F33C04" w:rsidP="00025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F33C04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25C6B" w:rsidRPr="00025C6B" w14:paraId="47135516" w14:textId="77777777" w:rsidTr="00F33C04">
        <w:trPr>
          <w:trHeight w:val="576"/>
        </w:trPr>
        <w:tc>
          <w:tcPr>
            <w:tcW w:w="913" w:type="pct"/>
            <w:shd w:val="clear" w:color="auto" w:fill="auto"/>
            <w:vAlign w:val="center"/>
          </w:tcPr>
          <w:p w14:paraId="23AD772E" w14:textId="660270FA" w:rsidR="00025C6B" w:rsidRPr="00025C6B" w:rsidRDefault="00025C6B" w:rsidP="00025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6B">
              <w:rPr>
                <w:rFonts w:ascii="Arial" w:hAnsi="Arial" w:cs="Arial"/>
                <w:sz w:val="20"/>
                <w:szCs w:val="20"/>
              </w:rPr>
              <w:t xml:space="preserve">SAKHI Hamza 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50C1DCA0" w14:textId="168C08B4" w:rsidR="00025C6B" w:rsidRPr="00025C6B" w:rsidRDefault="00025C6B" w:rsidP="00025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6B">
              <w:rPr>
                <w:rFonts w:ascii="Arial" w:hAnsi="Arial" w:cs="Arial"/>
                <w:sz w:val="20"/>
                <w:szCs w:val="20"/>
              </w:rPr>
              <w:t xml:space="preserve">Service de Néphrologie et Transplantation Rénale </w:t>
            </w:r>
            <w:r w:rsidRPr="00025C6B">
              <w:rPr>
                <w:rFonts w:ascii="Arial" w:hAnsi="Arial" w:cs="Arial"/>
                <w:sz w:val="20"/>
                <w:szCs w:val="20"/>
              </w:rPr>
              <w:br/>
              <w:t xml:space="preserve">Hôpital Henri Mondor </w:t>
            </w:r>
          </w:p>
        </w:tc>
        <w:tc>
          <w:tcPr>
            <w:tcW w:w="2234" w:type="pct"/>
            <w:shd w:val="clear" w:color="auto" w:fill="auto"/>
            <w:vAlign w:val="center"/>
          </w:tcPr>
          <w:p w14:paraId="3839D9D1" w14:textId="7633C833" w:rsidR="00025C6B" w:rsidRPr="00025C6B" w:rsidRDefault="00025C6B" w:rsidP="00025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6B">
              <w:rPr>
                <w:rFonts w:ascii="Arial" w:hAnsi="Arial" w:cs="Arial"/>
                <w:sz w:val="20"/>
                <w:szCs w:val="20"/>
              </w:rPr>
              <w:t>Infections sévères chez le patient dialysé après échec de greffe rénale : facteurs de risque, survie des patients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1E65EBCA" w14:textId="613B8DFF" w:rsidR="00025C6B" w:rsidRPr="00025C6B" w:rsidRDefault="00F33C04" w:rsidP="00025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20543 €</w:t>
            </w:r>
          </w:p>
        </w:tc>
      </w:tr>
      <w:tr w:rsidR="00F33C04" w:rsidRPr="00025C6B" w14:paraId="6ABF3776" w14:textId="77777777" w:rsidTr="00F33C04">
        <w:trPr>
          <w:trHeight w:val="576"/>
        </w:trPr>
        <w:tc>
          <w:tcPr>
            <w:tcW w:w="913" w:type="pct"/>
            <w:shd w:val="clear" w:color="auto" w:fill="auto"/>
            <w:vAlign w:val="center"/>
          </w:tcPr>
          <w:p w14:paraId="49CAD347" w14:textId="06B51618" w:rsidR="00025C6B" w:rsidRPr="00025C6B" w:rsidRDefault="00025C6B" w:rsidP="00025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6B">
              <w:rPr>
                <w:rFonts w:ascii="Arial" w:hAnsi="Arial" w:cs="Arial"/>
                <w:sz w:val="20"/>
                <w:szCs w:val="20"/>
              </w:rPr>
              <w:t xml:space="preserve">PREZELIN-REYDIT Mathilde </w:t>
            </w:r>
          </w:p>
        </w:tc>
        <w:tc>
          <w:tcPr>
            <w:tcW w:w="1383" w:type="pct"/>
            <w:shd w:val="clear" w:color="auto" w:fill="auto"/>
            <w:vAlign w:val="center"/>
            <w:hideMark/>
          </w:tcPr>
          <w:p w14:paraId="05183233" w14:textId="6C27813B" w:rsidR="00025C6B" w:rsidRPr="00025C6B" w:rsidRDefault="00025C6B" w:rsidP="00025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6B">
              <w:rPr>
                <w:rFonts w:ascii="Arial" w:hAnsi="Arial" w:cs="Arial"/>
                <w:sz w:val="20"/>
                <w:szCs w:val="20"/>
              </w:rPr>
              <w:t>INSERM U1219 Bordeaux Population Health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0C4A751E" w14:textId="42D4D92B" w:rsidR="00025C6B" w:rsidRPr="00025C6B" w:rsidRDefault="00025C6B" w:rsidP="00025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6B">
              <w:rPr>
                <w:rFonts w:ascii="Arial" w:hAnsi="Arial" w:cs="Arial"/>
                <w:sz w:val="20"/>
                <w:szCs w:val="20"/>
              </w:rPr>
              <w:t xml:space="preserve">Choix de l’immunosuppression à la </w:t>
            </w:r>
            <w:proofErr w:type="spellStart"/>
            <w:r w:rsidRPr="00025C6B">
              <w:rPr>
                <w:rFonts w:ascii="Arial" w:hAnsi="Arial" w:cs="Arial"/>
                <w:sz w:val="20"/>
                <w:szCs w:val="20"/>
              </w:rPr>
              <w:t>réinitiation</w:t>
            </w:r>
            <w:proofErr w:type="spellEnd"/>
            <w:r w:rsidRPr="00025C6B">
              <w:rPr>
                <w:rFonts w:ascii="Arial" w:hAnsi="Arial" w:cs="Arial"/>
                <w:sz w:val="20"/>
                <w:szCs w:val="20"/>
              </w:rPr>
              <w:t xml:space="preserve"> de la dialyse après première greffe rénale : une émulation d’essai clinique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1F7BC848" w14:textId="392C1A67" w:rsidR="00025C6B" w:rsidRPr="00025C6B" w:rsidRDefault="00F33C04" w:rsidP="00025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29957 €</w:t>
            </w:r>
          </w:p>
        </w:tc>
      </w:tr>
      <w:tr w:rsidR="00025C6B" w:rsidRPr="00025C6B" w14:paraId="6B658F2C" w14:textId="77777777" w:rsidTr="00F33C04">
        <w:trPr>
          <w:trHeight w:val="576"/>
        </w:trPr>
        <w:tc>
          <w:tcPr>
            <w:tcW w:w="913" w:type="pct"/>
            <w:shd w:val="clear" w:color="auto" w:fill="auto"/>
            <w:vAlign w:val="center"/>
          </w:tcPr>
          <w:p w14:paraId="125DB511" w14:textId="26B386B0" w:rsidR="00025C6B" w:rsidRPr="00025C6B" w:rsidRDefault="00025C6B" w:rsidP="00025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6B">
              <w:rPr>
                <w:rFonts w:ascii="Arial" w:hAnsi="Arial" w:cs="Arial"/>
                <w:color w:val="000000"/>
                <w:sz w:val="20"/>
                <w:szCs w:val="20"/>
              </w:rPr>
              <w:t>BELKACEMI Mohamed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76FECB91" w14:textId="77777777" w:rsidR="00025C6B" w:rsidRPr="00025C6B" w:rsidRDefault="00025C6B" w:rsidP="00025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6B">
              <w:rPr>
                <w:rFonts w:ascii="Arial" w:hAnsi="Arial" w:cs="Arial"/>
                <w:sz w:val="20"/>
                <w:szCs w:val="20"/>
              </w:rPr>
              <w:t>Réseau REIN Languedoc Roussillon</w:t>
            </w:r>
          </w:p>
          <w:p w14:paraId="27D4815F" w14:textId="77777777" w:rsidR="00025C6B" w:rsidRPr="00025C6B" w:rsidRDefault="00025C6B" w:rsidP="00025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6B">
              <w:rPr>
                <w:rFonts w:ascii="Arial" w:hAnsi="Arial" w:cs="Arial"/>
                <w:sz w:val="20"/>
                <w:szCs w:val="20"/>
              </w:rPr>
              <w:t>Nouvelles Technologies</w:t>
            </w:r>
          </w:p>
          <w:p w14:paraId="2FF803BA" w14:textId="1E73F18E" w:rsidR="00025C6B" w:rsidRPr="00025C6B" w:rsidRDefault="00025C6B" w:rsidP="00025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6B">
              <w:rPr>
                <w:rFonts w:ascii="Arial" w:hAnsi="Arial" w:cs="Arial"/>
                <w:sz w:val="20"/>
                <w:szCs w:val="20"/>
              </w:rPr>
              <w:t>Clinique Beau Soleil MONTPELLIER</w:t>
            </w:r>
          </w:p>
        </w:tc>
        <w:tc>
          <w:tcPr>
            <w:tcW w:w="2234" w:type="pct"/>
            <w:shd w:val="clear" w:color="auto" w:fill="auto"/>
            <w:vAlign w:val="center"/>
          </w:tcPr>
          <w:p w14:paraId="58B3B309" w14:textId="42E93D58" w:rsidR="00025C6B" w:rsidRPr="00025C6B" w:rsidRDefault="00025C6B" w:rsidP="00025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C6B">
              <w:rPr>
                <w:rFonts w:ascii="Arial" w:hAnsi="Arial" w:cs="Arial"/>
                <w:color w:val="000000"/>
                <w:sz w:val="20"/>
                <w:szCs w:val="20"/>
              </w:rPr>
              <w:t>Etude descriptive de l’incidence des hospitalisations de causes cardiovasculaires chez les patients dialysés en France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00E85084" w14:textId="46427724" w:rsidR="00025C6B" w:rsidRPr="00025C6B" w:rsidRDefault="00F33C04" w:rsidP="00025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C04">
              <w:rPr>
                <w:rFonts w:ascii="Arial" w:hAnsi="Arial" w:cs="Arial"/>
                <w:sz w:val="20"/>
                <w:szCs w:val="20"/>
              </w:rPr>
              <w:t>5000</w:t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28466FB3" w14:textId="77777777" w:rsidR="000A5572" w:rsidRPr="000A5572" w:rsidRDefault="000A5572" w:rsidP="000A5572">
      <w:pPr>
        <w:rPr>
          <w:rFonts w:ascii="Arial" w:hAnsi="Arial" w:cs="Times"/>
          <w:sz w:val="22"/>
          <w:szCs w:val="38"/>
        </w:rPr>
      </w:pPr>
    </w:p>
    <w:p w14:paraId="2BDED376" w14:textId="054C1785" w:rsidR="000A5572" w:rsidRDefault="000A5572" w:rsidP="00F33C04">
      <w:pPr>
        <w:rPr>
          <w:rFonts w:ascii="Arial" w:hAnsi="Arial" w:cs="Times"/>
          <w:sz w:val="22"/>
          <w:szCs w:val="38"/>
        </w:rPr>
      </w:pPr>
      <w:r w:rsidRPr="000A5572">
        <w:rPr>
          <w:rFonts w:ascii="Arial" w:hAnsi="Arial" w:cs="Times"/>
          <w:sz w:val="22"/>
          <w:szCs w:val="38"/>
        </w:rPr>
        <w:t xml:space="preserve">Tous les autres projets, jugés également très intéressants, seront soutenus dans leur demande d’autres financement et les données leur seront fournies pour analyse si nécessaire. </w:t>
      </w:r>
    </w:p>
    <w:p w14:paraId="532F03AF" w14:textId="1B92ED12" w:rsidR="00F33C04" w:rsidRDefault="00B04B61" w:rsidP="00F33C04">
      <w:pPr>
        <w:rPr>
          <w:rFonts w:ascii="Arial" w:hAnsi="Arial" w:cs="Times"/>
          <w:sz w:val="22"/>
          <w:szCs w:val="38"/>
        </w:rPr>
      </w:pPr>
      <w:hyperlink r:id="rId7" w:history="1">
        <w:r w:rsidR="00F33C04" w:rsidRPr="008321EF">
          <w:rPr>
            <w:rStyle w:val="Lienhypertexte"/>
            <w:rFonts w:ascii="Arial" w:hAnsi="Arial" w:cs="Times"/>
            <w:sz w:val="22"/>
            <w:szCs w:val="38"/>
          </w:rPr>
          <w:t>https://www.agence-biomedecine.fr/fr/observatoire-de-la-maladie-renale-chronique/appel-d-offres-recherche-rein</w:t>
        </w:r>
      </w:hyperlink>
      <w:r w:rsidR="00F33C04">
        <w:rPr>
          <w:rFonts w:ascii="Arial" w:hAnsi="Arial" w:cs="Times"/>
          <w:sz w:val="22"/>
          <w:szCs w:val="38"/>
        </w:rPr>
        <w:t xml:space="preserve"> </w:t>
      </w:r>
    </w:p>
    <w:sectPr w:rsidR="00F33C04" w:rsidSect="00B754C5">
      <w:headerReference w:type="default" r:id="rId8"/>
      <w:pgSz w:w="11900" w:h="16840"/>
      <w:pgMar w:top="181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B19C9" w14:textId="77777777" w:rsidR="000E62F0" w:rsidRDefault="000E62F0">
      <w:r>
        <w:separator/>
      </w:r>
    </w:p>
  </w:endnote>
  <w:endnote w:type="continuationSeparator" w:id="0">
    <w:p w14:paraId="07FB7350" w14:textId="77777777" w:rsidR="000E62F0" w:rsidRDefault="000E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639B9" w14:textId="77777777" w:rsidR="000E62F0" w:rsidRDefault="000E62F0">
      <w:r>
        <w:separator/>
      </w:r>
    </w:p>
  </w:footnote>
  <w:footnote w:type="continuationSeparator" w:id="0">
    <w:p w14:paraId="4151FDF5" w14:textId="77777777" w:rsidR="000E62F0" w:rsidRDefault="000E6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A820" w14:textId="77777777" w:rsidR="00260553" w:rsidRDefault="0026055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004AC55C" wp14:editId="4F820C66">
          <wp:simplePos x="0" y="0"/>
          <wp:positionH relativeFrom="column">
            <wp:posOffset>-228600</wp:posOffset>
          </wp:positionH>
          <wp:positionV relativeFrom="paragraph">
            <wp:posOffset>19050</wp:posOffset>
          </wp:positionV>
          <wp:extent cx="1511935" cy="499110"/>
          <wp:effectExtent l="25400" t="0" r="12065" b="0"/>
          <wp:wrapTopAndBottom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99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754C5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B2284D0" wp14:editId="064E0D09">
          <wp:simplePos x="0" y="0"/>
          <wp:positionH relativeFrom="margin">
            <wp:posOffset>5029200</wp:posOffset>
          </wp:positionH>
          <wp:positionV relativeFrom="margin">
            <wp:posOffset>-914400</wp:posOffset>
          </wp:positionV>
          <wp:extent cx="871855" cy="990600"/>
          <wp:effectExtent l="25400" t="0" r="0" b="0"/>
          <wp:wrapSquare wrapText="bothSides"/>
          <wp:docPr id="3" name="Image 2" descr="logoR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Rei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22210"/>
    <w:multiLevelType w:val="hybridMultilevel"/>
    <w:tmpl w:val="D900622A"/>
    <w:lvl w:ilvl="0" w:tplc="4E06BD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9CC0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70CD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D664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B42E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663A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7CA7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E046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BCAC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3E0592F"/>
    <w:multiLevelType w:val="hybridMultilevel"/>
    <w:tmpl w:val="6BEE2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E774C"/>
    <w:multiLevelType w:val="hybridMultilevel"/>
    <w:tmpl w:val="D4009456"/>
    <w:lvl w:ilvl="0" w:tplc="181AFD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3AAF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4841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7031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CC41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2423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2EB4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04D9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B2C2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81D74E2"/>
    <w:multiLevelType w:val="hybridMultilevel"/>
    <w:tmpl w:val="C29083B6"/>
    <w:lvl w:ilvl="0" w:tplc="71982E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9044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549D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7E40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1EE9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82D6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289E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F447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CC5B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6210430B"/>
    <w:multiLevelType w:val="hybridMultilevel"/>
    <w:tmpl w:val="58C4E274"/>
    <w:lvl w:ilvl="0" w:tplc="3B9E84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ACA2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08AD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A04B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268B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FADC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8480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F2E9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E663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6C9A0ECB"/>
    <w:multiLevelType w:val="hybridMultilevel"/>
    <w:tmpl w:val="6100BC68"/>
    <w:lvl w:ilvl="0" w:tplc="54C0AE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9EE8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9497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2E93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B29F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16F3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3450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4A5C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9453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76E15D52"/>
    <w:multiLevelType w:val="hybridMultilevel"/>
    <w:tmpl w:val="2BE66F9C"/>
    <w:lvl w:ilvl="0" w:tplc="F126F6E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20A52"/>
    <w:multiLevelType w:val="hybridMultilevel"/>
    <w:tmpl w:val="22B4B63E"/>
    <w:lvl w:ilvl="0" w:tplc="FAE278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DC84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4E33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E6D2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DE8D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041C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A819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D281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8AA1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852"/>
    <w:rsid w:val="00006989"/>
    <w:rsid w:val="00006CBD"/>
    <w:rsid w:val="00012699"/>
    <w:rsid w:val="00025C6B"/>
    <w:rsid w:val="00040246"/>
    <w:rsid w:val="00046ECA"/>
    <w:rsid w:val="00047F94"/>
    <w:rsid w:val="000617C6"/>
    <w:rsid w:val="00076B45"/>
    <w:rsid w:val="000A0474"/>
    <w:rsid w:val="000A5572"/>
    <w:rsid w:val="000C6547"/>
    <w:rsid w:val="000E39CA"/>
    <w:rsid w:val="000E62F0"/>
    <w:rsid w:val="00131FF2"/>
    <w:rsid w:val="00146361"/>
    <w:rsid w:val="00161FA6"/>
    <w:rsid w:val="0016704D"/>
    <w:rsid w:val="001D0AD9"/>
    <w:rsid w:val="00223E88"/>
    <w:rsid w:val="00256D3F"/>
    <w:rsid w:val="00260553"/>
    <w:rsid w:val="0026647B"/>
    <w:rsid w:val="00270ECA"/>
    <w:rsid w:val="002809D7"/>
    <w:rsid w:val="00285DC6"/>
    <w:rsid w:val="002D7752"/>
    <w:rsid w:val="00423CBC"/>
    <w:rsid w:val="00480913"/>
    <w:rsid w:val="004D37A7"/>
    <w:rsid w:val="004E480B"/>
    <w:rsid w:val="00502787"/>
    <w:rsid w:val="00505814"/>
    <w:rsid w:val="00513323"/>
    <w:rsid w:val="005211CC"/>
    <w:rsid w:val="005A14D0"/>
    <w:rsid w:val="005C38B2"/>
    <w:rsid w:val="005F4DDD"/>
    <w:rsid w:val="005F5852"/>
    <w:rsid w:val="00600AD9"/>
    <w:rsid w:val="00611624"/>
    <w:rsid w:val="00673ABB"/>
    <w:rsid w:val="006D09A6"/>
    <w:rsid w:val="007279B5"/>
    <w:rsid w:val="00775602"/>
    <w:rsid w:val="00777323"/>
    <w:rsid w:val="00783A33"/>
    <w:rsid w:val="007C1427"/>
    <w:rsid w:val="007D3B7B"/>
    <w:rsid w:val="008111C3"/>
    <w:rsid w:val="00820E99"/>
    <w:rsid w:val="00840D2C"/>
    <w:rsid w:val="00881547"/>
    <w:rsid w:val="008A24B0"/>
    <w:rsid w:val="008E5BFC"/>
    <w:rsid w:val="008F5A5D"/>
    <w:rsid w:val="009705D0"/>
    <w:rsid w:val="009A342A"/>
    <w:rsid w:val="009B1168"/>
    <w:rsid w:val="009E175E"/>
    <w:rsid w:val="009F31D4"/>
    <w:rsid w:val="00AC3BCA"/>
    <w:rsid w:val="00AF6808"/>
    <w:rsid w:val="00AF7F78"/>
    <w:rsid w:val="00B04B61"/>
    <w:rsid w:val="00B754C5"/>
    <w:rsid w:val="00B8391C"/>
    <w:rsid w:val="00B92D35"/>
    <w:rsid w:val="00BD40BE"/>
    <w:rsid w:val="00C11498"/>
    <w:rsid w:val="00C54B40"/>
    <w:rsid w:val="00C811E6"/>
    <w:rsid w:val="00C87817"/>
    <w:rsid w:val="00CB592B"/>
    <w:rsid w:val="00CD3664"/>
    <w:rsid w:val="00D2507B"/>
    <w:rsid w:val="00D5278E"/>
    <w:rsid w:val="00D954DE"/>
    <w:rsid w:val="00DA0409"/>
    <w:rsid w:val="00DD5EAA"/>
    <w:rsid w:val="00E9548B"/>
    <w:rsid w:val="00EC183D"/>
    <w:rsid w:val="00EE28A0"/>
    <w:rsid w:val="00F2628E"/>
    <w:rsid w:val="00F32BC8"/>
    <w:rsid w:val="00F33C04"/>
    <w:rsid w:val="00F406DF"/>
    <w:rsid w:val="00F60CC4"/>
    <w:rsid w:val="00FA47AB"/>
    <w:rsid w:val="00FC3FE8"/>
    <w:rsid w:val="00FF1B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C919"/>
  <w15:docId w15:val="{46862E2E-1B5F-4AD3-A052-0EFC443A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4151"/>
  </w:style>
  <w:style w:type="paragraph" w:styleId="Titre4">
    <w:name w:val="heading 4"/>
    <w:basedOn w:val="Normal"/>
    <w:next w:val="Normal"/>
    <w:link w:val="Titre4Car"/>
    <w:qFormat/>
    <w:rsid w:val="005F5852"/>
    <w:pPr>
      <w:keepNext/>
      <w:outlineLvl w:val="3"/>
    </w:pPr>
    <w:rPr>
      <w:rFonts w:ascii="Arial" w:eastAsia="Times New Roman" w:hAnsi="Arial" w:cs="Arial"/>
      <w:b/>
      <w:color w:val="0000FF"/>
      <w:lang w:eastAsia="fr-FR"/>
    </w:rPr>
  </w:style>
  <w:style w:type="paragraph" w:styleId="Titre6">
    <w:name w:val="heading 6"/>
    <w:basedOn w:val="Normal"/>
    <w:next w:val="Normal"/>
    <w:link w:val="Titre6Car"/>
    <w:qFormat/>
    <w:rsid w:val="005F5852"/>
    <w:pPr>
      <w:keepNext/>
      <w:jc w:val="center"/>
      <w:outlineLvl w:val="5"/>
    </w:pPr>
    <w:rPr>
      <w:rFonts w:ascii="Times New Roman" w:eastAsia="Times New Roman" w:hAnsi="Times New Roman" w:cs="Times New Roman"/>
      <w:sz w:val="40"/>
      <w:szCs w:val="40"/>
      <w:lang w:eastAsia="fr-FR"/>
    </w:rPr>
  </w:style>
  <w:style w:type="paragraph" w:styleId="Titre7">
    <w:name w:val="heading 7"/>
    <w:basedOn w:val="Normal"/>
    <w:next w:val="Normal"/>
    <w:link w:val="Titre7Car"/>
    <w:qFormat/>
    <w:rsid w:val="005F5852"/>
    <w:pPr>
      <w:keepNext/>
      <w:jc w:val="center"/>
      <w:outlineLvl w:val="6"/>
    </w:pPr>
    <w:rPr>
      <w:rFonts w:ascii="Arial" w:eastAsia="Times New Roman" w:hAnsi="Arial" w:cs="Arial"/>
      <w:b/>
      <w:color w:val="0000FF"/>
      <w:sz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5F5852"/>
    <w:rPr>
      <w:rFonts w:ascii="Arial" w:eastAsia="Times New Roman" w:hAnsi="Arial" w:cs="Arial"/>
      <w:b/>
      <w:color w:val="0000FF"/>
      <w:lang w:eastAsia="fr-FR"/>
    </w:rPr>
  </w:style>
  <w:style w:type="character" w:customStyle="1" w:styleId="Titre6Car">
    <w:name w:val="Titre 6 Car"/>
    <w:basedOn w:val="Policepardfaut"/>
    <w:link w:val="Titre6"/>
    <w:rsid w:val="005F5852"/>
    <w:rPr>
      <w:rFonts w:ascii="Times New Roman" w:eastAsia="Times New Roman" w:hAnsi="Times New Roman" w:cs="Times New Roman"/>
      <w:sz w:val="40"/>
      <w:szCs w:val="40"/>
      <w:lang w:eastAsia="fr-FR"/>
    </w:rPr>
  </w:style>
  <w:style w:type="character" w:customStyle="1" w:styleId="Titre7Car">
    <w:name w:val="Titre 7 Car"/>
    <w:basedOn w:val="Policepardfaut"/>
    <w:link w:val="Titre7"/>
    <w:rsid w:val="005F5852"/>
    <w:rPr>
      <w:rFonts w:ascii="Arial" w:eastAsia="Times New Roman" w:hAnsi="Arial" w:cs="Arial"/>
      <w:b/>
      <w:color w:val="0000FF"/>
      <w:sz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B754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754C5"/>
  </w:style>
  <w:style w:type="paragraph" w:styleId="Pieddepage">
    <w:name w:val="footer"/>
    <w:basedOn w:val="Normal"/>
    <w:link w:val="PieddepageCar"/>
    <w:uiPriority w:val="99"/>
    <w:semiHidden/>
    <w:unhideWhenUsed/>
    <w:rsid w:val="00B754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754C5"/>
  </w:style>
  <w:style w:type="paragraph" w:styleId="Textedebulles">
    <w:name w:val="Balloon Text"/>
    <w:basedOn w:val="Normal"/>
    <w:link w:val="TextedebullesCar"/>
    <w:semiHidden/>
    <w:unhideWhenUsed/>
    <w:rsid w:val="000E39C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0E39C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rsid w:val="00F2628E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26647B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26647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2664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2664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26647B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0A5572"/>
    <w:rPr>
      <w:b/>
      <w:bCs/>
    </w:rPr>
  </w:style>
  <w:style w:type="character" w:styleId="Lienhypertexte">
    <w:name w:val="Hyperlink"/>
    <w:basedOn w:val="Policepardfaut"/>
    <w:unhideWhenUsed/>
    <w:rsid w:val="000A557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33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33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98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1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573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24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21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gence-biomedecine.fr/fr/observatoire-de-la-maladie-renale-chronique/appel-d-offres-recherche-re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HomeOffice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Jacquelinet</dc:creator>
  <cp:lastModifiedBy>COUCHOUD Cécile</cp:lastModifiedBy>
  <cp:revision>3</cp:revision>
  <cp:lastPrinted>2018-11-13T12:54:00Z</cp:lastPrinted>
  <dcterms:created xsi:type="dcterms:W3CDTF">2025-06-27T09:17:00Z</dcterms:created>
  <dcterms:modified xsi:type="dcterms:W3CDTF">2025-06-27T09:44:00Z</dcterms:modified>
</cp:coreProperties>
</file>