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E738D" w14:textId="0DA31104" w:rsidR="006C280F" w:rsidRPr="00A35F14" w:rsidRDefault="001B606C" w:rsidP="006C280F">
      <w:pPr>
        <w:pStyle w:val="NomPrnom"/>
        <w:spacing w:line="252" w:lineRule="auto"/>
        <w:jc w:val="center"/>
        <w:rPr>
          <w:rFonts w:ascii="Arial" w:hAnsi="Arial" w:cs="Arial"/>
          <w:strike/>
          <w:color w:val="273467"/>
          <w:spacing w:val="23"/>
          <w:sz w:val="52"/>
          <w:szCs w:val="52"/>
        </w:rPr>
      </w:pPr>
      <w:r w:rsidRPr="00A35F14">
        <w:rPr>
          <w:rFonts w:ascii="Arial" w:hAnsi="Arial" w:cs="Arial"/>
          <w:strike/>
          <w:color w:val="273467"/>
          <w:spacing w:val="23"/>
          <w:sz w:val="52"/>
          <w:szCs w:val="52"/>
        </w:rPr>
        <w:t xml:space="preserve"> </w:t>
      </w:r>
    </w:p>
    <w:p w14:paraId="5174D40E" w14:textId="0E485C02" w:rsidR="006C280F" w:rsidRPr="00A35F14" w:rsidRDefault="006C280F" w:rsidP="006C280F">
      <w:pPr>
        <w:pStyle w:val="NomPrnom"/>
        <w:spacing w:line="252" w:lineRule="auto"/>
        <w:jc w:val="center"/>
        <w:rPr>
          <w:rFonts w:ascii="Arial" w:hAnsi="Arial" w:cs="Arial"/>
          <w:color w:val="273467"/>
          <w:spacing w:val="23"/>
          <w:sz w:val="52"/>
          <w:szCs w:val="52"/>
        </w:rPr>
      </w:pPr>
      <w:r w:rsidRPr="00A35F14">
        <w:rPr>
          <w:rFonts w:ascii="Arial" w:hAnsi="Arial" w:cs="Arial"/>
          <w:color w:val="273467"/>
          <w:spacing w:val="23"/>
          <w:sz w:val="52"/>
          <w:szCs w:val="52"/>
        </w:rPr>
        <w:t>Guide pour l’élaboration du</w:t>
      </w:r>
    </w:p>
    <w:p w14:paraId="09F80BFC" w14:textId="49385079" w:rsidR="006C280F" w:rsidRPr="00A35F14" w:rsidRDefault="00CE7751" w:rsidP="0072562E">
      <w:pPr>
        <w:pStyle w:val="NomPrnom"/>
        <w:spacing w:line="252" w:lineRule="auto"/>
        <w:ind w:left="-284"/>
        <w:jc w:val="center"/>
        <w:rPr>
          <w:rFonts w:ascii="Arial" w:hAnsi="Arial" w:cs="Arial"/>
          <w:color w:val="273467"/>
          <w:spacing w:val="23"/>
          <w:sz w:val="52"/>
          <w:szCs w:val="52"/>
        </w:rPr>
      </w:pPr>
      <w:r w:rsidRPr="00A35F14">
        <w:rPr>
          <w:rFonts w:ascii="Arial" w:hAnsi="Arial" w:cs="Arial"/>
          <w:color w:val="273467"/>
          <w:spacing w:val="23"/>
          <w:sz w:val="52"/>
          <w:szCs w:val="52"/>
        </w:rPr>
        <w:t>Règlement</w:t>
      </w:r>
      <w:r w:rsidR="006C280F" w:rsidRPr="00A35F14">
        <w:rPr>
          <w:rFonts w:ascii="Arial" w:hAnsi="Arial" w:cs="Arial"/>
          <w:color w:val="273467"/>
          <w:spacing w:val="23"/>
          <w:sz w:val="52"/>
          <w:szCs w:val="52"/>
        </w:rPr>
        <w:t xml:space="preserve"> intérieur d’un</w:t>
      </w:r>
    </w:p>
    <w:p w14:paraId="34359FA8" w14:textId="4EBF8255" w:rsidR="00F648CE" w:rsidRPr="00A35F14" w:rsidRDefault="006C280F" w:rsidP="00005A08">
      <w:pPr>
        <w:pStyle w:val="NomPrnom"/>
        <w:spacing w:line="252" w:lineRule="auto"/>
        <w:ind w:left="-284"/>
        <w:jc w:val="center"/>
        <w:rPr>
          <w:rFonts w:ascii="Arial" w:hAnsi="Arial" w:cs="Arial"/>
          <w:color w:val="273467"/>
          <w:spacing w:val="23"/>
          <w:sz w:val="52"/>
          <w:szCs w:val="52"/>
        </w:rPr>
      </w:pPr>
      <w:r w:rsidRPr="00A35F14">
        <w:rPr>
          <w:rFonts w:ascii="Arial" w:hAnsi="Arial" w:cs="Arial"/>
          <w:color w:val="273467"/>
          <w:spacing w:val="23"/>
          <w:sz w:val="52"/>
          <w:szCs w:val="52"/>
        </w:rPr>
        <w:t xml:space="preserve">Centre </w:t>
      </w:r>
      <w:r w:rsidR="00CE7751" w:rsidRPr="00A35F14">
        <w:rPr>
          <w:rFonts w:ascii="Arial" w:hAnsi="Arial" w:cs="Arial"/>
          <w:color w:val="273467"/>
          <w:spacing w:val="23"/>
          <w:sz w:val="52"/>
          <w:szCs w:val="52"/>
        </w:rPr>
        <w:t>De</w:t>
      </w:r>
      <w:r w:rsidRPr="00A35F14">
        <w:rPr>
          <w:rFonts w:ascii="Arial" w:hAnsi="Arial" w:cs="Arial"/>
          <w:color w:val="273467"/>
          <w:spacing w:val="23"/>
          <w:sz w:val="52"/>
          <w:szCs w:val="52"/>
        </w:rPr>
        <w:t xml:space="preserve"> Diagnostic Pré</w:t>
      </w:r>
      <w:r w:rsidR="00005A08" w:rsidRPr="00A35F14">
        <w:rPr>
          <w:rFonts w:ascii="Arial" w:hAnsi="Arial" w:cs="Arial"/>
          <w:color w:val="273467"/>
          <w:spacing w:val="23"/>
          <w:sz w:val="52"/>
          <w:szCs w:val="52"/>
        </w:rPr>
        <w:t>-Implantatoire</w:t>
      </w:r>
    </w:p>
    <w:p w14:paraId="202C7736" w14:textId="77777777" w:rsidR="00CC3267" w:rsidRPr="00A35F14" w:rsidRDefault="00CC3267" w:rsidP="00CC3267"/>
    <w:p w14:paraId="532E385F" w14:textId="40092F22" w:rsidR="00F648CE" w:rsidRPr="00A35F14" w:rsidRDefault="00F648CE" w:rsidP="006B4DF4">
      <w:pPr>
        <w:rPr>
          <w:color w:val="273467"/>
          <w:spacing w:val="13"/>
          <w:szCs w:val="20"/>
        </w:rPr>
      </w:pPr>
    </w:p>
    <w:p w14:paraId="73B8519A" w14:textId="042D2AD0" w:rsidR="00F92BFB" w:rsidRPr="00A35F14" w:rsidRDefault="00F92BFB" w:rsidP="00F92BFB">
      <w:pPr>
        <w:pStyle w:val="NomPrnom"/>
        <w:spacing w:line="252" w:lineRule="auto"/>
        <w:ind w:left="-284"/>
        <w:jc w:val="center"/>
        <w:rPr>
          <w:color w:val="273467"/>
          <w:spacing w:val="23"/>
          <w:sz w:val="52"/>
          <w:szCs w:val="52"/>
        </w:rPr>
      </w:pPr>
      <w:r w:rsidRPr="00A35F14">
        <w:rPr>
          <w:rFonts w:ascii="Arial" w:hAnsi="Arial" w:cs="Arial"/>
          <w:color w:val="273467"/>
          <w:spacing w:val="23"/>
          <w:sz w:val="52"/>
          <w:szCs w:val="52"/>
        </w:rPr>
        <w:t>C</w:t>
      </w:r>
      <w:r w:rsidR="00005A08" w:rsidRPr="00A35F14">
        <w:rPr>
          <w:rFonts w:ascii="Arial" w:hAnsi="Arial" w:cs="Arial"/>
          <w:color w:val="273467"/>
          <w:spacing w:val="23"/>
          <w:sz w:val="52"/>
          <w:szCs w:val="52"/>
        </w:rPr>
        <w:t>DPI</w:t>
      </w:r>
      <w:r w:rsidRPr="00A35F14">
        <w:rPr>
          <w:rFonts w:ascii="Arial" w:hAnsi="Arial" w:cs="Arial"/>
          <w:color w:val="273467"/>
          <w:spacing w:val="23"/>
          <w:sz w:val="52"/>
          <w:szCs w:val="52"/>
        </w:rPr>
        <w:t xml:space="preserve"> de ……</w:t>
      </w:r>
      <w:proofErr w:type="gramStart"/>
      <w:r w:rsidRPr="00A35F14">
        <w:rPr>
          <w:rFonts w:ascii="Arial" w:hAnsi="Arial" w:cs="Arial"/>
          <w:color w:val="273467"/>
          <w:spacing w:val="23"/>
          <w:sz w:val="52"/>
          <w:szCs w:val="52"/>
        </w:rPr>
        <w:t>……</w:t>
      </w:r>
      <w:r w:rsidR="002A461B" w:rsidRPr="00A35F14">
        <w:rPr>
          <w:rFonts w:ascii="Arial" w:hAnsi="Arial" w:cs="Arial"/>
          <w:color w:val="273467"/>
          <w:spacing w:val="23"/>
          <w:sz w:val="52"/>
          <w:szCs w:val="52"/>
        </w:rPr>
        <w:t>.</w:t>
      </w:r>
      <w:proofErr w:type="gramEnd"/>
      <w:r w:rsidR="002A461B" w:rsidRPr="00A35F14">
        <w:rPr>
          <w:rFonts w:ascii="Arial" w:hAnsi="Arial" w:cs="Arial"/>
          <w:color w:val="273467"/>
          <w:spacing w:val="23"/>
          <w:sz w:val="52"/>
          <w:szCs w:val="52"/>
        </w:rPr>
        <w:t>.</w:t>
      </w:r>
    </w:p>
    <w:p w14:paraId="011F7B88" w14:textId="2420E75E" w:rsidR="00F92BFB" w:rsidRPr="00A35F14" w:rsidRDefault="00173D60" w:rsidP="003917DC">
      <w:pPr>
        <w:pStyle w:val="NomPrnom"/>
        <w:tabs>
          <w:tab w:val="left" w:pos="7935"/>
        </w:tabs>
        <w:spacing w:line="252" w:lineRule="auto"/>
        <w:ind w:left="-284"/>
        <w:jc w:val="left"/>
        <w:rPr>
          <w:color w:val="273467"/>
          <w:spacing w:val="23"/>
          <w:sz w:val="52"/>
          <w:szCs w:val="52"/>
        </w:rPr>
      </w:pPr>
      <w:r w:rsidRPr="00A35F14">
        <w:rPr>
          <w:color w:val="273467"/>
          <w:spacing w:val="23"/>
          <w:sz w:val="52"/>
          <w:szCs w:val="52"/>
        </w:rPr>
        <w:tab/>
      </w:r>
    </w:p>
    <w:p w14:paraId="131ECBC3" w14:textId="77777777" w:rsidR="00CC3267" w:rsidRPr="00A35F14" w:rsidRDefault="00CC3267" w:rsidP="00CC3267"/>
    <w:p w14:paraId="2FD2CA2D" w14:textId="5B5559C9" w:rsidR="00F92BFB" w:rsidRPr="00A35F14" w:rsidRDefault="00F92BFB" w:rsidP="00F92BFB">
      <w:pPr>
        <w:pStyle w:val="NomPrnom"/>
        <w:spacing w:line="252" w:lineRule="auto"/>
        <w:ind w:left="-284"/>
        <w:jc w:val="center"/>
        <w:rPr>
          <w:rFonts w:ascii="Arial" w:hAnsi="Arial" w:cs="Arial"/>
          <w:i/>
          <w:iCs/>
          <w:strike/>
          <w:color w:val="273467"/>
          <w:spacing w:val="23"/>
          <w:sz w:val="52"/>
          <w:szCs w:val="52"/>
        </w:rPr>
      </w:pPr>
      <w:r w:rsidRPr="00A35F14">
        <w:rPr>
          <w:rFonts w:ascii="Arial" w:hAnsi="Arial" w:cs="Arial"/>
          <w:color w:val="273467"/>
          <w:spacing w:val="23"/>
          <w:sz w:val="52"/>
          <w:szCs w:val="52"/>
        </w:rPr>
        <w:t>Version du</w:t>
      </w:r>
      <w:r w:rsidRPr="00A35F14">
        <w:rPr>
          <w:rFonts w:ascii="Arial" w:hAnsi="Arial" w:cs="Arial"/>
          <w:i/>
          <w:iCs/>
          <w:color w:val="273467"/>
          <w:spacing w:val="23"/>
          <w:sz w:val="52"/>
          <w:szCs w:val="52"/>
        </w:rPr>
        <w:t xml:space="preserve"> (date) </w:t>
      </w:r>
    </w:p>
    <w:p w14:paraId="499C113F" w14:textId="034E6F56" w:rsidR="00F92BFB" w:rsidRPr="00A35F14" w:rsidRDefault="00F92BFB" w:rsidP="00F92BFB">
      <w:pPr>
        <w:rPr>
          <w:strike/>
        </w:rPr>
      </w:pPr>
    </w:p>
    <w:p w14:paraId="7311FAB9" w14:textId="57054FA2" w:rsidR="00F92BFB" w:rsidRPr="00A35F14" w:rsidRDefault="00F92BFB" w:rsidP="00F92BFB">
      <w:pPr>
        <w:rPr>
          <w:strike/>
        </w:rPr>
      </w:pPr>
    </w:p>
    <w:p w14:paraId="5FA60350" w14:textId="754210B9" w:rsidR="006C280F" w:rsidRPr="00A35F14" w:rsidRDefault="006C280F" w:rsidP="00CC3267">
      <w:pPr>
        <w:pStyle w:val="Titre"/>
        <w:jc w:val="both"/>
        <w:rPr>
          <w:rFonts w:eastAsia="Calibri"/>
          <w:strike/>
          <w:color w:val="273467"/>
          <w:spacing w:val="13"/>
          <w:szCs w:val="20"/>
          <w:lang w:eastAsia="en-US"/>
        </w:rPr>
      </w:pPr>
    </w:p>
    <w:p w14:paraId="2B1B7448" w14:textId="2376197A" w:rsidR="005D5F2C" w:rsidRPr="00530B31" w:rsidRDefault="005D5F2C" w:rsidP="00530B31">
      <w:r w:rsidRPr="00A35F14">
        <w:rPr>
          <w:color w:val="000000" w:themeColor="text1"/>
        </w:rPr>
        <w:t xml:space="preserve">Ce guide est </w:t>
      </w:r>
      <w:r w:rsidR="00E75E82" w:rsidRPr="00A35F14">
        <w:rPr>
          <w:color w:val="000000" w:themeColor="text1"/>
        </w:rPr>
        <w:t>proposé dans le cadre de l’a</w:t>
      </w:r>
      <w:r w:rsidR="00005A08" w:rsidRPr="00A35F14">
        <w:t>rrêté du 18 juin 2024 relatif aux recommandations de bonnes pratiques en matière de diagnostic préimplantatoire</w:t>
      </w:r>
      <w:bookmarkStart w:id="0" w:name="_Hlk179816078"/>
      <w:r w:rsidR="00A35F14">
        <w:rPr>
          <w:rStyle w:val="Appelnotedebasdep"/>
        </w:rPr>
        <w:footnoteReference w:id="1"/>
      </w:r>
      <w:r w:rsidR="00530B31">
        <w:rPr>
          <w:i/>
          <w:iCs/>
          <w:shd w:val="clear" w:color="auto" w:fill="F2F2F2" w:themeFill="background1" w:themeFillShade="F2"/>
          <w:lang w:eastAsia="fr-FR"/>
        </w:rPr>
        <w:t xml:space="preserve"> (l</w:t>
      </w:r>
      <w:r w:rsidR="00C35A26" w:rsidRPr="00530B31">
        <w:rPr>
          <w:i/>
          <w:iCs/>
          <w:shd w:val="clear" w:color="auto" w:fill="F2F2F2" w:themeFill="background1" w:themeFillShade="F2"/>
          <w:lang w:eastAsia="fr-FR"/>
        </w:rPr>
        <w:t>es éléments</w:t>
      </w:r>
      <w:r w:rsidR="00530B31">
        <w:rPr>
          <w:i/>
          <w:iCs/>
          <w:shd w:val="clear" w:color="auto" w:fill="F2F2F2" w:themeFill="background1" w:themeFillShade="F2"/>
          <w:lang w:eastAsia="fr-FR"/>
        </w:rPr>
        <w:t xml:space="preserve"> du guide,</w:t>
      </w:r>
      <w:r w:rsidR="003C2598">
        <w:rPr>
          <w:i/>
          <w:iCs/>
          <w:shd w:val="clear" w:color="auto" w:fill="F2F2F2" w:themeFill="background1" w:themeFillShade="F2"/>
          <w:lang w:eastAsia="fr-FR"/>
        </w:rPr>
        <w:t xml:space="preserve"> </w:t>
      </w:r>
      <w:r w:rsidR="00C35A26" w:rsidRPr="00530B31">
        <w:rPr>
          <w:i/>
          <w:iCs/>
          <w:shd w:val="clear" w:color="auto" w:fill="F2F2F2" w:themeFill="background1" w:themeFillShade="F2"/>
          <w:lang w:eastAsia="fr-FR"/>
        </w:rPr>
        <w:t>donnés à titre indicatif</w:t>
      </w:r>
      <w:r w:rsidR="003C2598">
        <w:rPr>
          <w:i/>
          <w:iCs/>
          <w:shd w:val="clear" w:color="auto" w:fill="F2F2F2" w:themeFill="background1" w:themeFillShade="F2"/>
          <w:lang w:eastAsia="fr-FR"/>
        </w:rPr>
        <w:t xml:space="preserve">, </w:t>
      </w:r>
      <w:r w:rsidR="00C35A26" w:rsidRPr="00530B31">
        <w:rPr>
          <w:i/>
          <w:iCs/>
          <w:shd w:val="clear" w:color="auto" w:fill="F2F2F2" w:themeFill="background1" w:themeFillShade="F2"/>
          <w:lang w:eastAsia="fr-FR"/>
        </w:rPr>
        <w:t>sont en italique et surligné</w:t>
      </w:r>
      <w:r w:rsidR="003C2598">
        <w:rPr>
          <w:i/>
          <w:iCs/>
          <w:shd w:val="clear" w:color="auto" w:fill="F2F2F2" w:themeFill="background1" w:themeFillShade="F2"/>
          <w:lang w:eastAsia="fr-FR"/>
        </w:rPr>
        <w:t>s</w:t>
      </w:r>
      <w:r w:rsidR="00C35A26" w:rsidRPr="00530B31">
        <w:rPr>
          <w:i/>
          <w:iCs/>
          <w:shd w:val="clear" w:color="auto" w:fill="F2F2F2" w:themeFill="background1" w:themeFillShade="F2"/>
          <w:lang w:eastAsia="fr-FR"/>
        </w:rPr>
        <w:t xml:space="preserve"> en gris</w:t>
      </w:r>
      <w:r w:rsidR="00530B31">
        <w:rPr>
          <w:i/>
          <w:iCs/>
          <w:shd w:val="clear" w:color="auto" w:fill="F2F2F2" w:themeFill="background1" w:themeFillShade="F2"/>
          <w:lang w:eastAsia="fr-FR"/>
        </w:rPr>
        <w:t>)</w:t>
      </w:r>
      <w:r w:rsidR="00C35A26" w:rsidRPr="00530B31">
        <w:rPr>
          <w:i/>
          <w:iCs/>
          <w:shd w:val="clear" w:color="auto" w:fill="F2F2F2" w:themeFill="background1" w:themeFillShade="F2"/>
          <w:lang w:eastAsia="fr-FR"/>
        </w:rPr>
        <w:t>.</w:t>
      </w:r>
    </w:p>
    <w:p w14:paraId="03CAEAAE" w14:textId="05497B52" w:rsidR="003917DC" w:rsidRPr="00A35F14" w:rsidRDefault="003917DC" w:rsidP="005D5F2C">
      <w:pPr>
        <w:pStyle w:val="Titre"/>
        <w:jc w:val="both"/>
        <w:rPr>
          <w:rFonts w:eastAsia="Calibri"/>
          <w:strike/>
          <w:color w:val="00B050"/>
          <w:spacing w:val="13"/>
          <w:szCs w:val="20"/>
          <w:lang w:eastAsia="en-US"/>
        </w:rPr>
      </w:pPr>
    </w:p>
    <w:p w14:paraId="6F0C9B7A" w14:textId="77777777" w:rsidR="00005A08" w:rsidRPr="00A35F14" w:rsidRDefault="00005A08" w:rsidP="005D5F2C">
      <w:pPr>
        <w:pStyle w:val="Titre"/>
        <w:jc w:val="both"/>
        <w:rPr>
          <w:rFonts w:eastAsia="Calibri"/>
          <w:strike/>
          <w:color w:val="00B050"/>
          <w:spacing w:val="13"/>
          <w:szCs w:val="20"/>
          <w:lang w:eastAsia="en-US"/>
        </w:rPr>
      </w:pPr>
    </w:p>
    <w:p w14:paraId="17EBA2AA" w14:textId="77777777" w:rsidR="003917DC" w:rsidRPr="00A35F14" w:rsidRDefault="003917DC" w:rsidP="005D5F2C">
      <w:pPr>
        <w:pStyle w:val="Titre"/>
        <w:jc w:val="both"/>
        <w:rPr>
          <w:rFonts w:eastAsia="Calibri"/>
          <w:strike/>
          <w:color w:val="273467"/>
          <w:spacing w:val="13"/>
          <w:szCs w:val="20"/>
          <w:lang w:eastAsia="en-US"/>
        </w:rPr>
      </w:pPr>
    </w:p>
    <w:bookmarkEnd w:id="0"/>
    <w:p w14:paraId="79F93BD9" w14:textId="1EF317B6" w:rsidR="00A60A61" w:rsidRPr="00A35F14" w:rsidRDefault="00F648CE" w:rsidP="00213A67">
      <w:pPr>
        <w:rPr>
          <w:b/>
          <w:bCs/>
          <w:strike/>
        </w:rPr>
      </w:pPr>
      <w:r w:rsidRPr="00A35F14">
        <w:rPr>
          <w:b/>
          <w:bCs/>
          <w:strike/>
        </w:rPr>
        <w:t xml:space="preserve">   </w:t>
      </w:r>
    </w:p>
    <w:p w14:paraId="6EE175B5" w14:textId="15B51C32" w:rsidR="003917DC" w:rsidRPr="00A35F14" w:rsidRDefault="003917DC" w:rsidP="00213A67">
      <w:pPr>
        <w:rPr>
          <w:b/>
          <w:bCs/>
          <w:strike/>
        </w:rPr>
      </w:pPr>
    </w:p>
    <w:p w14:paraId="60075FE3" w14:textId="389795E3" w:rsidR="003917DC" w:rsidRPr="00A35F14" w:rsidRDefault="003917DC" w:rsidP="00213A67">
      <w:pPr>
        <w:rPr>
          <w:b/>
          <w:bCs/>
          <w:strike/>
        </w:rPr>
      </w:pPr>
    </w:p>
    <w:p w14:paraId="2A5DFAA9" w14:textId="6246BBA0" w:rsidR="003917DC" w:rsidRPr="00A35F14" w:rsidRDefault="003917DC" w:rsidP="00213A67">
      <w:pPr>
        <w:rPr>
          <w:b/>
          <w:bCs/>
          <w:strike/>
        </w:rPr>
      </w:pPr>
    </w:p>
    <w:p w14:paraId="4E98D65F" w14:textId="7E6ABAA3" w:rsidR="003917DC" w:rsidRPr="00A35F14" w:rsidRDefault="003917DC" w:rsidP="00213A67">
      <w:pPr>
        <w:rPr>
          <w:b/>
          <w:bCs/>
          <w:strike/>
        </w:rPr>
      </w:pPr>
    </w:p>
    <w:p w14:paraId="5F86F4B3" w14:textId="57667009" w:rsidR="00E75E82" w:rsidRPr="00A35F14" w:rsidRDefault="00E75E82" w:rsidP="00213A67">
      <w:pPr>
        <w:rPr>
          <w:b/>
          <w:bCs/>
          <w:strike/>
        </w:rPr>
      </w:pPr>
    </w:p>
    <w:p w14:paraId="0FE4F086" w14:textId="5CEC03B1" w:rsidR="00E75E82" w:rsidRPr="00A35F14" w:rsidRDefault="00E75E82" w:rsidP="00213A67">
      <w:pPr>
        <w:rPr>
          <w:b/>
          <w:bCs/>
          <w:strike/>
        </w:rPr>
      </w:pPr>
    </w:p>
    <w:p w14:paraId="65569449" w14:textId="45839F71" w:rsidR="00E75E82" w:rsidRPr="00A35F14" w:rsidRDefault="00E75E82" w:rsidP="00213A67">
      <w:pPr>
        <w:rPr>
          <w:b/>
          <w:bCs/>
          <w:strike/>
        </w:rPr>
      </w:pPr>
    </w:p>
    <w:p w14:paraId="6588939B" w14:textId="43938E2E" w:rsidR="00E75E82" w:rsidRPr="00A35F14" w:rsidRDefault="00E75E82" w:rsidP="00213A67">
      <w:pPr>
        <w:rPr>
          <w:b/>
          <w:bCs/>
          <w:strike/>
        </w:rPr>
      </w:pPr>
    </w:p>
    <w:p w14:paraId="0EC251A2" w14:textId="4FC25BF0" w:rsidR="00E75E82" w:rsidRPr="00A35F14" w:rsidRDefault="00E75E82" w:rsidP="00213A67">
      <w:pPr>
        <w:rPr>
          <w:b/>
          <w:bCs/>
          <w:strike/>
        </w:rPr>
      </w:pPr>
    </w:p>
    <w:p w14:paraId="6E4DE6D8" w14:textId="3D9DD272" w:rsidR="00E75E82" w:rsidRPr="00A35F14" w:rsidRDefault="00E75E82" w:rsidP="00213A67">
      <w:pPr>
        <w:rPr>
          <w:b/>
          <w:bCs/>
          <w:strike/>
        </w:rPr>
      </w:pPr>
    </w:p>
    <w:p w14:paraId="6A9F417E" w14:textId="7AA0760E" w:rsidR="00E75E82" w:rsidRPr="00A35F14" w:rsidRDefault="00E75E82" w:rsidP="00213A67">
      <w:pPr>
        <w:rPr>
          <w:b/>
          <w:bCs/>
          <w:strike/>
        </w:rPr>
      </w:pPr>
    </w:p>
    <w:p w14:paraId="78DDFDE1" w14:textId="7761983F" w:rsidR="00E75E82" w:rsidRPr="00A35F14" w:rsidRDefault="00E75E82" w:rsidP="00213A67">
      <w:pPr>
        <w:rPr>
          <w:b/>
          <w:bCs/>
          <w:strike/>
        </w:rPr>
      </w:pPr>
    </w:p>
    <w:p w14:paraId="761A9E4C" w14:textId="7637BBB9" w:rsidR="00E75E82" w:rsidRPr="00A35F14" w:rsidRDefault="00E75E82" w:rsidP="00213A67">
      <w:pPr>
        <w:rPr>
          <w:b/>
          <w:bCs/>
          <w:strike/>
        </w:rPr>
      </w:pPr>
    </w:p>
    <w:p w14:paraId="53299A9F" w14:textId="7E1DADAF" w:rsidR="00E75E82" w:rsidRPr="00A35F14" w:rsidRDefault="00E75E82" w:rsidP="00213A67">
      <w:pPr>
        <w:rPr>
          <w:b/>
          <w:bCs/>
          <w:strike/>
        </w:rPr>
      </w:pPr>
    </w:p>
    <w:p w14:paraId="539D104E" w14:textId="4B875262" w:rsidR="00E75E82" w:rsidRPr="00A35F14" w:rsidRDefault="00E75E82" w:rsidP="00213A67">
      <w:pPr>
        <w:rPr>
          <w:b/>
          <w:bCs/>
          <w:strike/>
        </w:rPr>
      </w:pPr>
    </w:p>
    <w:p w14:paraId="3D64F7DD" w14:textId="7927512D" w:rsidR="00747EC9" w:rsidRPr="00A35F14" w:rsidRDefault="00A60A61" w:rsidP="000A2D69">
      <w:pPr>
        <w:pStyle w:val="Titre1"/>
      </w:pPr>
      <w:bookmarkStart w:id="1" w:name="_Toc178266335"/>
      <w:bookmarkStart w:id="2" w:name="_Toc178284950"/>
      <w:bookmarkStart w:id="3" w:name="_Toc211239492"/>
      <w:bookmarkStart w:id="4" w:name="_Toc211503143"/>
      <w:r w:rsidRPr="00A35F14">
        <w:lastRenderedPageBreak/>
        <w:t>GENERALITES</w:t>
      </w:r>
      <w:bookmarkEnd w:id="1"/>
      <w:bookmarkEnd w:id="2"/>
      <w:bookmarkEnd w:id="3"/>
      <w:bookmarkEnd w:id="4"/>
    </w:p>
    <w:p w14:paraId="5460EDDE" w14:textId="77777777" w:rsidR="00747EC9" w:rsidRPr="00A35F14" w:rsidRDefault="00747EC9" w:rsidP="006B4DF4">
      <w:pPr>
        <w:rPr>
          <w:b/>
          <w:bCs/>
          <w:strike/>
        </w:rPr>
      </w:pPr>
    </w:p>
    <w:p w14:paraId="4E266C18" w14:textId="77777777" w:rsidR="0072562E" w:rsidRDefault="007D78A0" w:rsidP="006B4DF4">
      <w:r w:rsidRPr="007D78A0">
        <w:t>Le diagnostic préimplantatoire (DPI) est une procédure qui permet de détecter des maladies génétiques </w:t>
      </w:r>
    </w:p>
    <w:p w14:paraId="5F1BE5FA" w14:textId="346DDE1D" w:rsidR="007D78A0" w:rsidRDefault="007D78A0" w:rsidP="006B4DF4">
      <w:r w:rsidRPr="007D78A0">
        <w:t>graves chez les embryons obtenus par fécondation </w:t>
      </w:r>
      <w:r w:rsidRPr="00F5008E">
        <w:rPr>
          <w:i/>
          <w:iCs/>
        </w:rPr>
        <w:t>in vitro</w:t>
      </w:r>
      <w:r w:rsidRPr="007D78A0">
        <w:t xml:space="preserve">, avant leur implantation. </w:t>
      </w:r>
      <w:r w:rsidR="00005A08" w:rsidRPr="00A35F14">
        <w:t>Un C</w:t>
      </w:r>
      <w:r w:rsidR="006F36EC">
        <w:t xml:space="preserve">entre de </w:t>
      </w:r>
      <w:r w:rsidR="00005A08" w:rsidRPr="00A35F14">
        <w:t>DPI a</w:t>
      </w:r>
      <w:r>
        <w:t xml:space="preserve"> donc</w:t>
      </w:r>
      <w:r w:rsidR="00005A08" w:rsidRPr="00A35F14">
        <w:t xml:space="preserve"> trois composantes (AMP, diagnostic cytogénétique, y compris moléculaire, et diagnostic génétique moléculaire sur la ou les cellules embryonnaires) bien identifiées et organisées pour un fonctionnement coordonné</w:t>
      </w:r>
      <w:r w:rsidR="006F36EC">
        <w:t>. Ce dernier est</w:t>
      </w:r>
      <w:r w:rsidR="00005A08" w:rsidRPr="00A35F14">
        <w:t xml:space="preserve"> régi par un règlement intérieur</w:t>
      </w:r>
      <w:r>
        <w:t xml:space="preserve"> (RI) rédigé par le Centre de</w:t>
      </w:r>
      <w:r w:rsidR="00A35F14">
        <w:t xml:space="preserve"> </w:t>
      </w:r>
      <w:r w:rsidRPr="007D78A0">
        <w:t>diagnostic </w:t>
      </w:r>
      <w:r w:rsidR="008B421E" w:rsidRPr="007D78A0">
        <w:t>préimplantatoire (</w:t>
      </w:r>
      <w:r w:rsidR="00A35F14">
        <w:t>CDPI</w:t>
      </w:r>
      <w:r>
        <w:t>)</w:t>
      </w:r>
      <w:r w:rsidR="008B421E">
        <w:t>.</w:t>
      </w:r>
    </w:p>
    <w:p w14:paraId="14EBBA92" w14:textId="77777777" w:rsidR="007D78A0" w:rsidRDefault="007D78A0" w:rsidP="006B4DF4"/>
    <w:p w14:paraId="052712E1" w14:textId="51B7BD47" w:rsidR="00A35F14" w:rsidRDefault="00A35F14" w:rsidP="006B4DF4">
      <w:r w:rsidRPr="00014C9A">
        <w:t xml:space="preserve">Ce </w:t>
      </w:r>
      <w:r w:rsidR="007D78A0" w:rsidRPr="00014C9A">
        <w:t xml:space="preserve">RI </w:t>
      </w:r>
      <w:r w:rsidRPr="00014C9A">
        <w:t xml:space="preserve">a </w:t>
      </w:r>
      <w:r w:rsidR="007D78A0" w:rsidRPr="00014C9A">
        <w:t xml:space="preserve">ainsi </w:t>
      </w:r>
      <w:r w:rsidRPr="00014C9A">
        <w:t>pour</w:t>
      </w:r>
      <w:r w:rsidRPr="00A35F14">
        <w:rPr>
          <w:b/>
          <w:bCs/>
        </w:rPr>
        <w:t xml:space="preserve"> objectif principal d’organiser l’activité des différents acteurs impliqués dans le fonctionnement du CDPI et notamment les interfaces entre ces trois composantes.</w:t>
      </w:r>
      <w:r>
        <w:t xml:space="preserve"> </w:t>
      </w:r>
    </w:p>
    <w:p w14:paraId="2E80AB09" w14:textId="3777B140" w:rsidR="00A35F14" w:rsidRDefault="00A35F14" w:rsidP="006B4DF4"/>
    <w:p w14:paraId="3D5A0FEC" w14:textId="77777777" w:rsidR="00A35F14" w:rsidRDefault="00A35F14" w:rsidP="00A35F14">
      <w:r>
        <w:t xml:space="preserve">Le règlement intérieur, le nom du coordonnateur et le nom de la personne responsable et de son suppléant sont transmis à l’Agence de la biomédecine par le directeur de l’établissement dans un délai de 3 mois à compter de la décision d’autorisation du centre. Tout changement substantiel du règlement intérieur portant sur la structuration du centre donne également lieu à une information de l’Agence de la biomédecine </w:t>
      </w:r>
    </w:p>
    <w:p w14:paraId="05D7A824" w14:textId="1A5FD8D8" w:rsidR="00A35F14" w:rsidRDefault="00A35F14" w:rsidP="006B4DF4"/>
    <w:p w14:paraId="4AC91AD8" w14:textId="77777777" w:rsidR="006F36EC" w:rsidRPr="008B005D" w:rsidRDefault="006F36EC" w:rsidP="006F36EC">
      <w:pPr>
        <w:shd w:val="clear" w:color="auto" w:fill="F2F2F2" w:themeFill="background1" w:themeFillShade="F2"/>
        <w:rPr>
          <w:i/>
          <w:iCs/>
        </w:rPr>
      </w:pPr>
      <w:r w:rsidRPr="008B005D">
        <w:rPr>
          <w:i/>
          <w:iCs/>
        </w:rPr>
        <w:t>Mentionner ici</w:t>
      </w:r>
      <w:r>
        <w:rPr>
          <w:i/>
          <w:iCs/>
        </w:rPr>
        <w:t xml:space="preserve"> quand est révisé le RI (</w:t>
      </w:r>
      <w:r w:rsidRPr="008B005D">
        <w:rPr>
          <w:i/>
          <w:iCs/>
        </w:rPr>
        <w:t>fréquence minimale et</w:t>
      </w:r>
      <w:r>
        <w:rPr>
          <w:i/>
          <w:iCs/>
        </w:rPr>
        <w:t>/ou</w:t>
      </w:r>
      <w:r w:rsidRPr="008B005D">
        <w:rPr>
          <w:i/>
          <w:iCs/>
        </w:rPr>
        <w:t xml:space="preserve"> les circonstances</w:t>
      </w:r>
      <w:r>
        <w:rPr>
          <w:i/>
          <w:iCs/>
        </w:rPr>
        <w:t>)</w:t>
      </w:r>
    </w:p>
    <w:p w14:paraId="6A0E89CB" w14:textId="77777777" w:rsidR="006F36EC" w:rsidRDefault="006F36EC" w:rsidP="006B4DF4"/>
    <w:p w14:paraId="1A7F6430" w14:textId="77777777" w:rsidR="00A35F14" w:rsidRPr="00A35F14" w:rsidRDefault="00A35F14" w:rsidP="006B4DF4">
      <w:r w:rsidRPr="00A35F14">
        <w:rPr>
          <w:b/>
          <w:bCs/>
          <w:color w:val="002060"/>
        </w:rPr>
        <w:t>Le règlement intérieur comporte notamment des informations relatives :</w:t>
      </w:r>
      <w:r w:rsidRPr="00A35F14">
        <w:t xml:space="preserve"> </w:t>
      </w:r>
    </w:p>
    <w:p w14:paraId="5BD374EA" w14:textId="77777777" w:rsidR="00A35F14" w:rsidRDefault="00A35F14" w:rsidP="006B4DF4"/>
    <w:p w14:paraId="78853B41" w14:textId="77777777" w:rsidR="00A35F14" w:rsidRDefault="00A35F14" w:rsidP="006B4DF4">
      <w:r>
        <w:t xml:space="preserve">– aux conditions de nomination, de renouvellement et de suppléance du coordonnateur et de son suppléant – à l’organigramme du centre ; </w:t>
      </w:r>
    </w:p>
    <w:p w14:paraId="550E9B04" w14:textId="77777777" w:rsidR="00A35F14" w:rsidRDefault="00A35F14" w:rsidP="006B4DF4">
      <w:r>
        <w:t xml:space="preserve">– aux modalités d’organisation des réunions pluridisciplinaires (lieu, fréquence, convocation, ordre du jour, animation, compte-rendu) ; </w:t>
      </w:r>
    </w:p>
    <w:p w14:paraId="25B114E0" w14:textId="77777777" w:rsidR="00A35F14" w:rsidRDefault="00A35F14" w:rsidP="006B4DF4">
      <w:r>
        <w:t xml:space="preserve">– au mode d’élaboration des procédures ; </w:t>
      </w:r>
    </w:p>
    <w:p w14:paraId="1AD22E7F" w14:textId="77777777" w:rsidR="00A35F14" w:rsidRDefault="00A35F14" w:rsidP="006B4DF4">
      <w:r>
        <w:t xml:space="preserve">– à la gestion de la qualité ; </w:t>
      </w:r>
    </w:p>
    <w:p w14:paraId="3ABC6AF0" w14:textId="77777777" w:rsidR="00A35F14" w:rsidRDefault="00A35F14" w:rsidP="006B4DF4">
      <w:r>
        <w:t xml:space="preserve">– aux conditions d’accès au CDPI ; </w:t>
      </w:r>
    </w:p>
    <w:p w14:paraId="0793F5A5" w14:textId="77777777" w:rsidR="00A35F14" w:rsidRDefault="00A35F14" w:rsidP="006B4DF4">
      <w:r>
        <w:t xml:space="preserve">– aux modalités de gestion du dossier des couples ou des femmes non mariées ; </w:t>
      </w:r>
    </w:p>
    <w:p w14:paraId="7DD088FB" w14:textId="77777777" w:rsidR="00A35F14" w:rsidRDefault="00A35F14" w:rsidP="006B4DF4">
      <w:r>
        <w:t xml:space="preserve">– aux modalités de prise de décision ; </w:t>
      </w:r>
    </w:p>
    <w:p w14:paraId="369BC55E" w14:textId="77777777" w:rsidR="00A35F14" w:rsidRDefault="00A35F14" w:rsidP="006B4DF4">
      <w:r>
        <w:t xml:space="preserve">– à l’organisation du retour d’informations aux couples ou aux femmes non mariées ; </w:t>
      </w:r>
    </w:p>
    <w:p w14:paraId="4F1A5CBF" w14:textId="77777777" w:rsidR="00A35F14" w:rsidRDefault="00A35F14" w:rsidP="006B4DF4">
      <w:r>
        <w:t xml:space="preserve">– aux modalités d’organisation des formations délivrées (fréquence, suivi, contenu) ; </w:t>
      </w:r>
    </w:p>
    <w:p w14:paraId="567896B7" w14:textId="77777777" w:rsidR="00A35F14" w:rsidRDefault="00A35F14" w:rsidP="006B4DF4">
      <w:r>
        <w:t xml:space="preserve">– à la formalisation des relations avec les établissements et structures associés (centres clinico-biologiques d’AMP, services et laboratoires de génétique médicale et biologique, CPDPN) ; </w:t>
      </w:r>
    </w:p>
    <w:p w14:paraId="4B2DD112" w14:textId="77777777" w:rsidR="00A35F14" w:rsidRDefault="00A35F14" w:rsidP="006B4DF4">
      <w:r>
        <w:t xml:space="preserve">– à l’identité du correspondant local d’AMP vigilance (CLA) du centre d’AMP et de son suppléant et aux modalités de signalement d’évènements de vigilance à ce correspondant ; </w:t>
      </w:r>
    </w:p>
    <w:p w14:paraId="290DB80D" w14:textId="197B8269" w:rsidR="00C037E9" w:rsidRPr="00A35F14" w:rsidRDefault="00A35F14" w:rsidP="006B4DF4">
      <w:r>
        <w:t>– à l’identité de la personne responsable (PR) et de son suppléant désignés conformément aux recommandations de bonnes pratiques en AMP.</w:t>
      </w:r>
    </w:p>
    <w:p w14:paraId="54EE56FB" w14:textId="568BC608" w:rsidR="009F552E" w:rsidRDefault="009F552E" w:rsidP="009F552E"/>
    <w:p w14:paraId="4B38FB7F" w14:textId="641501C3" w:rsidR="009F552E" w:rsidRDefault="009F552E" w:rsidP="009F552E"/>
    <w:p w14:paraId="14F192C0" w14:textId="12977B5D" w:rsidR="009F552E" w:rsidRDefault="009F552E" w:rsidP="009F552E"/>
    <w:p w14:paraId="58644752" w14:textId="1A10F8E5" w:rsidR="009F552E" w:rsidRDefault="009F552E" w:rsidP="009F552E"/>
    <w:p w14:paraId="18293672" w14:textId="001A714F" w:rsidR="009F552E" w:rsidRDefault="009F552E" w:rsidP="009F552E"/>
    <w:p w14:paraId="11799887" w14:textId="00DD28B3" w:rsidR="009F552E" w:rsidRDefault="009F552E" w:rsidP="009F552E"/>
    <w:p w14:paraId="3F6EF89B" w14:textId="1F442A56" w:rsidR="009F552E" w:rsidRDefault="009F552E" w:rsidP="009F552E"/>
    <w:p w14:paraId="1518D619" w14:textId="74DA410A" w:rsidR="009F552E" w:rsidRDefault="009F552E" w:rsidP="009F552E"/>
    <w:p w14:paraId="73FE132B" w14:textId="7532403E" w:rsidR="009F552E" w:rsidRDefault="009F552E" w:rsidP="009F552E"/>
    <w:p w14:paraId="23D792D2" w14:textId="2028455A" w:rsidR="009F552E" w:rsidRDefault="009F552E" w:rsidP="009F552E"/>
    <w:p w14:paraId="43F956FA" w14:textId="4F8A8106" w:rsidR="009F552E" w:rsidRDefault="009F552E" w:rsidP="009F552E"/>
    <w:p w14:paraId="0F84929B" w14:textId="6BF90C76" w:rsidR="009F552E" w:rsidRDefault="009F552E" w:rsidP="009F552E"/>
    <w:p w14:paraId="4C6007FF" w14:textId="1B1FA8AA" w:rsidR="009F552E" w:rsidRDefault="009F552E" w:rsidP="009F552E"/>
    <w:p w14:paraId="2896523C" w14:textId="29DD7E6C" w:rsidR="009F552E" w:rsidRDefault="009F552E" w:rsidP="009F552E"/>
    <w:p w14:paraId="3147B8AC" w14:textId="2784643F" w:rsidR="009F552E" w:rsidRDefault="009F552E" w:rsidP="009F552E"/>
    <w:p w14:paraId="1D067C7C" w14:textId="1CE27259" w:rsidR="009F552E" w:rsidRDefault="009F552E" w:rsidP="009F552E"/>
    <w:p w14:paraId="364976E1" w14:textId="3B627892" w:rsidR="009F552E" w:rsidRDefault="009F552E" w:rsidP="009F552E"/>
    <w:p w14:paraId="4BB842EB" w14:textId="76EC0EF4" w:rsidR="009F552E" w:rsidRDefault="009F552E" w:rsidP="009F552E"/>
    <w:p w14:paraId="5906A1D2" w14:textId="6E7AE6CE" w:rsidR="009F552E" w:rsidRDefault="009F552E" w:rsidP="009F552E"/>
    <w:p w14:paraId="7BF54DCA" w14:textId="0CB64063" w:rsidR="009F552E" w:rsidRDefault="009F552E" w:rsidP="009F552E"/>
    <w:p w14:paraId="2A55C02B" w14:textId="65A76512" w:rsidR="00415798" w:rsidRDefault="00415798" w:rsidP="00F5008E">
      <w:pPr>
        <w:pStyle w:val="Titre1"/>
      </w:pPr>
      <w:bookmarkStart w:id="5" w:name="_Toc211503144"/>
      <w:r>
        <w:t>TABLE DES MATIERES</w:t>
      </w:r>
      <w:bookmarkEnd w:id="5"/>
    </w:p>
    <w:p w14:paraId="61DD4505" w14:textId="00ADB6B9" w:rsidR="00415798" w:rsidRDefault="00415798" w:rsidP="00415798">
      <w:pPr>
        <w:rPr>
          <w:lang w:eastAsia="fr-FR"/>
        </w:rPr>
      </w:pPr>
    </w:p>
    <w:p w14:paraId="1967D90E" w14:textId="3B2595E1" w:rsidR="000503FC" w:rsidRDefault="000503FC">
      <w:pPr>
        <w:pStyle w:val="TM1"/>
        <w:tabs>
          <w:tab w:val="right" w:pos="9346"/>
        </w:tabs>
        <w:rPr>
          <w:rFonts w:eastAsiaTheme="minorEastAsia" w:cstheme="minorBidi"/>
          <w:b w:val="0"/>
          <w:bCs w:val="0"/>
          <w:caps w:val="0"/>
          <w:noProof/>
          <w:kern w:val="0"/>
          <w:u w:val="none"/>
          <w:lang w:eastAsia="fr-FR"/>
          <w14:ligatures w14:val="none"/>
        </w:rPr>
      </w:pPr>
      <w:r>
        <w:rPr>
          <w:b w:val="0"/>
          <w:bCs w:val="0"/>
          <w:i/>
          <w:iCs/>
          <w:lang w:eastAsia="fr-FR"/>
        </w:rPr>
        <w:fldChar w:fldCharType="begin"/>
      </w:r>
      <w:r>
        <w:rPr>
          <w:b w:val="0"/>
          <w:bCs w:val="0"/>
          <w:i/>
          <w:iCs/>
          <w:lang w:eastAsia="fr-FR"/>
        </w:rPr>
        <w:instrText xml:space="preserve"> TOC \o "1-5" \h \z \u </w:instrText>
      </w:r>
      <w:r>
        <w:rPr>
          <w:b w:val="0"/>
          <w:bCs w:val="0"/>
          <w:i/>
          <w:iCs/>
          <w:lang w:eastAsia="fr-FR"/>
        </w:rPr>
        <w:fldChar w:fldCharType="separate"/>
      </w:r>
      <w:hyperlink w:anchor="_Toc211503143" w:history="1">
        <w:r w:rsidRPr="000A43F1">
          <w:rPr>
            <w:rStyle w:val="Lienhypertexte"/>
            <w:noProof/>
          </w:rPr>
          <w:t>GENERALITES</w:t>
        </w:r>
        <w:r>
          <w:rPr>
            <w:noProof/>
            <w:webHidden/>
          </w:rPr>
          <w:tab/>
        </w:r>
        <w:r>
          <w:rPr>
            <w:noProof/>
            <w:webHidden/>
          </w:rPr>
          <w:fldChar w:fldCharType="begin"/>
        </w:r>
        <w:r>
          <w:rPr>
            <w:noProof/>
            <w:webHidden/>
          </w:rPr>
          <w:instrText xml:space="preserve"> PAGEREF _Toc211503143 \h </w:instrText>
        </w:r>
        <w:r>
          <w:rPr>
            <w:noProof/>
            <w:webHidden/>
          </w:rPr>
        </w:r>
        <w:r>
          <w:rPr>
            <w:noProof/>
            <w:webHidden/>
          </w:rPr>
          <w:fldChar w:fldCharType="separate"/>
        </w:r>
        <w:r>
          <w:rPr>
            <w:noProof/>
            <w:webHidden/>
          </w:rPr>
          <w:t>2</w:t>
        </w:r>
        <w:r>
          <w:rPr>
            <w:noProof/>
            <w:webHidden/>
          </w:rPr>
          <w:fldChar w:fldCharType="end"/>
        </w:r>
      </w:hyperlink>
    </w:p>
    <w:p w14:paraId="3FFEBD05" w14:textId="514D757C"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44" w:history="1">
        <w:r w:rsidR="000503FC" w:rsidRPr="000A43F1">
          <w:rPr>
            <w:rStyle w:val="Lienhypertexte"/>
            <w:noProof/>
          </w:rPr>
          <w:t>TABLE DES MATIERES</w:t>
        </w:r>
        <w:r w:rsidR="000503FC">
          <w:rPr>
            <w:noProof/>
            <w:webHidden/>
          </w:rPr>
          <w:tab/>
        </w:r>
        <w:r w:rsidR="000503FC">
          <w:rPr>
            <w:noProof/>
            <w:webHidden/>
          </w:rPr>
          <w:fldChar w:fldCharType="begin"/>
        </w:r>
        <w:r w:rsidR="000503FC">
          <w:rPr>
            <w:noProof/>
            <w:webHidden/>
          </w:rPr>
          <w:instrText xml:space="preserve"> PAGEREF _Toc211503144 \h </w:instrText>
        </w:r>
        <w:r w:rsidR="000503FC">
          <w:rPr>
            <w:noProof/>
            <w:webHidden/>
          </w:rPr>
        </w:r>
        <w:r w:rsidR="000503FC">
          <w:rPr>
            <w:noProof/>
            <w:webHidden/>
          </w:rPr>
          <w:fldChar w:fldCharType="separate"/>
        </w:r>
        <w:r w:rsidR="000503FC">
          <w:rPr>
            <w:noProof/>
            <w:webHidden/>
          </w:rPr>
          <w:t>3</w:t>
        </w:r>
        <w:r w:rsidR="000503FC">
          <w:rPr>
            <w:noProof/>
            <w:webHidden/>
          </w:rPr>
          <w:fldChar w:fldCharType="end"/>
        </w:r>
      </w:hyperlink>
    </w:p>
    <w:p w14:paraId="2AA6359A" w14:textId="4A973408"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45" w:history="1">
        <w:r w:rsidR="000503FC" w:rsidRPr="000A43F1">
          <w:rPr>
            <w:rStyle w:val="Lienhypertexte"/>
            <w:noProof/>
          </w:rPr>
          <w:t>LISTES DES ANNEXES</w:t>
        </w:r>
        <w:r w:rsidR="000503FC">
          <w:rPr>
            <w:noProof/>
            <w:webHidden/>
          </w:rPr>
          <w:tab/>
        </w:r>
        <w:r w:rsidR="000503FC">
          <w:rPr>
            <w:noProof/>
            <w:webHidden/>
          </w:rPr>
          <w:fldChar w:fldCharType="begin"/>
        </w:r>
        <w:r w:rsidR="000503FC">
          <w:rPr>
            <w:noProof/>
            <w:webHidden/>
          </w:rPr>
          <w:instrText xml:space="preserve"> PAGEREF _Toc211503145 \h </w:instrText>
        </w:r>
        <w:r w:rsidR="000503FC">
          <w:rPr>
            <w:noProof/>
            <w:webHidden/>
          </w:rPr>
        </w:r>
        <w:r w:rsidR="000503FC">
          <w:rPr>
            <w:noProof/>
            <w:webHidden/>
          </w:rPr>
          <w:fldChar w:fldCharType="separate"/>
        </w:r>
        <w:r w:rsidR="000503FC">
          <w:rPr>
            <w:noProof/>
            <w:webHidden/>
          </w:rPr>
          <w:t>5</w:t>
        </w:r>
        <w:r w:rsidR="000503FC">
          <w:rPr>
            <w:noProof/>
            <w:webHidden/>
          </w:rPr>
          <w:fldChar w:fldCharType="end"/>
        </w:r>
      </w:hyperlink>
    </w:p>
    <w:p w14:paraId="45631742" w14:textId="0F461995"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46" w:history="1">
        <w:r w:rsidR="000503FC" w:rsidRPr="000A43F1">
          <w:rPr>
            <w:rStyle w:val="Lienhypertexte"/>
            <w:noProof/>
          </w:rPr>
          <w:t>ARTICLE 1 : CONSTITUTION ET AUTORISATION</w:t>
        </w:r>
        <w:r w:rsidR="000503FC">
          <w:rPr>
            <w:noProof/>
            <w:webHidden/>
          </w:rPr>
          <w:tab/>
        </w:r>
        <w:r w:rsidR="000503FC">
          <w:rPr>
            <w:noProof/>
            <w:webHidden/>
          </w:rPr>
          <w:fldChar w:fldCharType="begin"/>
        </w:r>
        <w:r w:rsidR="000503FC">
          <w:rPr>
            <w:noProof/>
            <w:webHidden/>
          </w:rPr>
          <w:instrText xml:space="preserve"> PAGEREF _Toc211503146 \h </w:instrText>
        </w:r>
        <w:r w:rsidR="000503FC">
          <w:rPr>
            <w:noProof/>
            <w:webHidden/>
          </w:rPr>
        </w:r>
        <w:r w:rsidR="000503FC">
          <w:rPr>
            <w:noProof/>
            <w:webHidden/>
          </w:rPr>
          <w:fldChar w:fldCharType="separate"/>
        </w:r>
        <w:r w:rsidR="000503FC">
          <w:rPr>
            <w:noProof/>
            <w:webHidden/>
          </w:rPr>
          <w:t>6</w:t>
        </w:r>
        <w:r w:rsidR="000503FC">
          <w:rPr>
            <w:noProof/>
            <w:webHidden/>
          </w:rPr>
          <w:fldChar w:fldCharType="end"/>
        </w:r>
      </w:hyperlink>
    </w:p>
    <w:p w14:paraId="05800F4E" w14:textId="3F5EC5AD"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47" w:history="1">
        <w:r w:rsidR="000503FC" w:rsidRPr="000A43F1">
          <w:rPr>
            <w:rStyle w:val="Lienhypertexte"/>
            <w:noProof/>
          </w:rPr>
          <w:t>ARTICLE 2 : STRUCTURE, SITE ET DENOMINATION</w:t>
        </w:r>
        <w:r w:rsidR="000503FC">
          <w:rPr>
            <w:noProof/>
            <w:webHidden/>
          </w:rPr>
          <w:tab/>
        </w:r>
        <w:r w:rsidR="000503FC">
          <w:rPr>
            <w:noProof/>
            <w:webHidden/>
          </w:rPr>
          <w:fldChar w:fldCharType="begin"/>
        </w:r>
        <w:r w:rsidR="000503FC">
          <w:rPr>
            <w:noProof/>
            <w:webHidden/>
          </w:rPr>
          <w:instrText xml:space="preserve"> PAGEREF _Toc211503147 \h </w:instrText>
        </w:r>
        <w:r w:rsidR="000503FC">
          <w:rPr>
            <w:noProof/>
            <w:webHidden/>
          </w:rPr>
        </w:r>
        <w:r w:rsidR="000503FC">
          <w:rPr>
            <w:noProof/>
            <w:webHidden/>
          </w:rPr>
          <w:fldChar w:fldCharType="separate"/>
        </w:r>
        <w:r w:rsidR="000503FC">
          <w:rPr>
            <w:noProof/>
            <w:webHidden/>
          </w:rPr>
          <w:t>7</w:t>
        </w:r>
        <w:r w:rsidR="000503FC">
          <w:rPr>
            <w:noProof/>
            <w:webHidden/>
          </w:rPr>
          <w:fldChar w:fldCharType="end"/>
        </w:r>
      </w:hyperlink>
    </w:p>
    <w:p w14:paraId="1CD7CC06" w14:textId="06E10EE8"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48" w:history="1">
        <w:r w:rsidR="000503FC" w:rsidRPr="000A43F1">
          <w:rPr>
            <w:rStyle w:val="Lienhypertexte"/>
            <w:noProof/>
          </w:rPr>
          <w:t>ARTICLE 3 : LES PROFESSIONNELS DE L’EQUIPE DU CENTRE DE DPI</w:t>
        </w:r>
        <w:r w:rsidR="000503FC">
          <w:rPr>
            <w:noProof/>
            <w:webHidden/>
          </w:rPr>
          <w:tab/>
        </w:r>
        <w:r w:rsidR="000503FC">
          <w:rPr>
            <w:noProof/>
            <w:webHidden/>
          </w:rPr>
          <w:fldChar w:fldCharType="begin"/>
        </w:r>
        <w:r w:rsidR="000503FC">
          <w:rPr>
            <w:noProof/>
            <w:webHidden/>
          </w:rPr>
          <w:instrText xml:space="preserve"> PAGEREF _Toc211503148 \h </w:instrText>
        </w:r>
        <w:r w:rsidR="000503FC">
          <w:rPr>
            <w:noProof/>
            <w:webHidden/>
          </w:rPr>
        </w:r>
        <w:r w:rsidR="000503FC">
          <w:rPr>
            <w:noProof/>
            <w:webHidden/>
          </w:rPr>
          <w:fldChar w:fldCharType="separate"/>
        </w:r>
        <w:r w:rsidR="000503FC">
          <w:rPr>
            <w:noProof/>
            <w:webHidden/>
          </w:rPr>
          <w:t>7</w:t>
        </w:r>
        <w:r w:rsidR="000503FC">
          <w:rPr>
            <w:noProof/>
            <w:webHidden/>
          </w:rPr>
          <w:fldChar w:fldCharType="end"/>
        </w:r>
      </w:hyperlink>
    </w:p>
    <w:p w14:paraId="1DBACDDC" w14:textId="5E4FCAB6"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49" w:history="1">
        <w:r w:rsidR="000503FC" w:rsidRPr="000A43F1">
          <w:rPr>
            <w:rStyle w:val="Lienhypertexte"/>
            <w:noProof/>
          </w:rPr>
          <w:t>Praticiens agréés pour chaque activité</w:t>
        </w:r>
        <w:r w:rsidR="000503FC">
          <w:rPr>
            <w:noProof/>
            <w:webHidden/>
          </w:rPr>
          <w:tab/>
        </w:r>
        <w:r w:rsidR="000503FC">
          <w:rPr>
            <w:noProof/>
            <w:webHidden/>
          </w:rPr>
          <w:fldChar w:fldCharType="begin"/>
        </w:r>
        <w:r w:rsidR="000503FC">
          <w:rPr>
            <w:noProof/>
            <w:webHidden/>
          </w:rPr>
          <w:instrText xml:space="preserve"> PAGEREF _Toc211503149 \h </w:instrText>
        </w:r>
        <w:r w:rsidR="000503FC">
          <w:rPr>
            <w:noProof/>
            <w:webHidden/>
          </w:rPr>
        </w:r>
        <w:r w:rsidR="000503FC">
          <w:rPr>
            <w:noProof/>
            <w:webHidden/>
          </w:rPr>
          <w:fldChar w:fldCharType="separate"/>
        </w:r>
        <w:r w:rsidR="000503FC">
          <w:rPr>
            <w:noProof/>
            <w:webHidden/>
          </w:rPr>
          <w:t>7</w:t>
        </w:r>
        <w:r w:rsidR="000503FC">
          <w:rPr>
            <w:noProof/>
            <w:webHidden/>
          </w:rPr>
          <w:fldChar w:fldCharType="end"/>
        </w:r>
      </w:hyperlink>
    </w:p>
    <w:p w14:paraId="227835EF" w14:textId="5A26374F"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50" w:history="1">
        <w:r w:rsidR="000503FC" w:rsidRPr="000A43F1">
          <w:rPr>
            <w:rStyle w:val="Lienhypertexte"/>
            <w:noProof/>
          </w:rPr>
          <w:t>Autres professionnels du centre de DPI</w:t>
        </w:r>
        <w:r w:rsidR="000503FC">
          <w:rPr>
            <w:noProof/>
            <w:webHidden/>
          </w:rPr>
          <w:tab/>
        </w:r>
        <w:r w:rsidR="000503FC">
          <w:rPr>
            <w:noProof/>
            <w:webHidden/>
          </w:rPr>
          <w:fldChar w:fldCharType="begin"/>
        </w:r>
        <w:r w:rsidR="000503FC">
          <w:rPr>
            <w:noProof/>
            <w:webHidden/>
          </w:rPr>
          <w:instrText xml:space="preserve"> PAGEREF _Toc211503150 \h </w:instrText>
        </w:r>
        <w:r w:rsidR="000503FC">
          <w:rPr>
            <w:noProof/>
            <w:webHidden/>
          </w:rPr>
        </w:r>
        <w:r w:rsidR="000503FC">
          <w:rPr>
            <w:noProof/>
            <w:webHidden/>
          </w:rPr>
          <w:fldChar w:fldCharType="separate"/>
        </w:r>
        <w:r w:rsidR="000503FC">
          <w:rPr>
            <w:noProof/>
            <w:webHidden/>
          </w:rPr>
          <w:t>7</w:t>
        </w:r>
        <w:r w:rsidR="000503FC">
          <w:rPr>
            <w:noProof/>
            <w:webHidden/>
          </w:rPr>
          <w:fldChar w:fldCharType="end"/>
        </w:r>
      </w:hyperlink>
    </w:p>
    <w:p w14:paraId="78B9D076" w14:textId="682B5683"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51" w:history="1">
        <w:r w:rsidR="000503FC" w:rsidRPr="000A43F1">
          <w:rPr>
            <w:rStyle w:val="Lienhypertexte"/>
            <w:noProof/>
          </w:rPr>
          <w:t>Organisation interne du centre de DPI</w:t>
        </w:r>
        <w:r w:rsidR="000503FC">
          <w:rPr>
            <w:noProof/>
            <w:webHidden/>
          </w:rPr>
          <w:tab/>
        </w:r>
        <w:r w:rsidR="000503FC">
          <w:rPr>
            <w:noProof/>
            <w:webHidden/>
          </w:rPr>
          <w:fldChar w:fldCharType="begin"/>
        </w:r>
        <w:r w:rsidR="000503FC">
          <w:rPr>
            <w:noProof/>
            <w:webHidden/>
          </w:rPr>
          <w:instrText xml:space="preserve"> PAGEREF _Toc211503151 \h </w:instrText>
        </w:r>
        <w:r w:rsidR="000503FC">
          <w:rPr>
            <w:noProof/>
            <w:webHidden/>
          </w:rPr>
        </w:r>
        <w:r w:rsidR="000503FC">
          <w:rPr>
            <w:noProof/>
            <w:webHidden/>
          </w:rPr>
          <w:fldChar w:fldCharType="separate"/>
        </w:r>
        <w:r w:rsidR="000503FC">
          <w:rPr>
            <w:noProof/>
            <w:webHidden/>
          </w:rPr>
          <w:t>7</w:t>
        </w:r>
        <w:r w:rsidR="000503FC">
          <w:rPr>
            <w:noProof/>
            <w:webHidden/>
          </w:rPr>
          <w:fldChar w:fldCharType="end"/>
        </w:r>
      </w:hyperlink>
    </w:p>
    <w:p w14:paraId="0B7F3961" w14:textId="4F63CF5A"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52" w:history="1">
        <w:r w:rsidR="000503FC" w:rsidRPr="000A43F1">
          <w:rPr>
            <w:rStyle w:val="Lienhypertexte"/>
            <w:noProof/>
          </w:rPr>
          <w:t>Coordonnateur</w:t>
        </w:r>
        <w:r w:rsidR="000503FC">
          <w:rPr>
            <w:noProof/>
            <w:webHidden/>
          </w:rPr>
          <w:tab/>
        </w:r>
        <w:r w:rsidR="000503FC">
          <w:rPr>
            <w:noProof/>
            <w:webHidden/>
          </w:rPr>
          <w:fldChar w:fldCharType="begin"/>
        </w:r>
        <w:r w:rsidR="000503FC">
          <w:rPr>
            <w:noProof/>
            <w:webHidden/>
          </w:rPr>
          <w:instrText xml:space="preserve"> PAGEREF _Toc211503152 \h </w:instrText>
        </w:r>
        <w:r w:rsidR="000503FC">
          <w:rPr>
            <w:noProof/>
            <w:webHidden/>
          </w:rPr>
        </w:r>
        <w:r w:rsidR="000503FC">
          <w:rPr>
            <w:noProof/>
            <w:webHidden/>
          </w:rPr>
          <w:fldChar w:fldCharType="separate"/>
        </w:r>
        <w:r w:rsidR="000503FC">
          <w:rPr>
            <w:noProof/>
            <w:webHidden/>
          </w:rPr>
          <w:t>8</w:t>
        </w:r>
        <w:r w:rsidR="000503FC">
          <w:rPr>
            <w:noProof/>
            <w:webHidden/>
          </w:rPr>
          <w:fldChar w:fldCharType="end"/>
        </w:r>
      </w:hyperlink>
    </w:p>
    <w:p w14:paraId="2AC8F11E" w14:textId="21A072BC"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53" w:history="1">
        <w:r w:rsidR="000503FC" w:rsidRPr="000A43F1">
          <w:rPr>
            <w:rStyle w:val="Lienhypertexte"/>
            <w:noProof/>
          </w:rPr>
          <w:t>Personne Responsable (PR)</w:t>
        </w:r>
        <w:r w:rsidR="000503FC">
          <w:rPr>
            <w:noProof/>
            <w:webHidden/>
          </w:rPr>
          <w:tab/>
        </w:r>
        <w:r w:rsidR="000503FC">
          <w:rPr>
            <w:noProof/>
            <w:webHidden/>
          </w:rPr>
          <w:fldChar w:fldCharType="begin"/>
        </w:r>
        <w:r w:rsidR="000503FC">
          <w:rPr>
            <w:noProof/>
            <w:webHidden/>
          </w:rPr>
          <w:instrText xml:space="preserve"> PAGEREF _Toc211503153 \h </w:instrText>
        </w:r>
        <w:r w:rsidR="000503FC">
          <w:rPr>
            <w:noProof/>
            <w:webHidden/>
          </w:rPr>
        </w:r>
        <w:r w:rsidR="000503FC">
          <w:rPr>
            <w:noProof/>
            <w:webHidden/>
          </w:rPr>
          <w:fldChar w:fldCharType="separate"/>
        </w:r>
        <w:r w:rsidR="000503FC">
          <w:rPr>
            <w:noProof/>
            <w:webHidden/>
          </w:rPr>
          <w:t>8</w:t>
        </w:r>
        <w:r w:rsidR="000503FC">
          <w:rPr>
            <w:noProof/>
            <w:webHidden/>
          </w:rPr>
          <w:fldChar w:fldCharType="end"/>
        </w:r>
      </w:hyperlink>
    </w:p>
    <w:p w14:paraId="79D6CC2F" w14:textId="20C1B200"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54" w:history="1">
        <w:r w:rsidR="000503FC" w:rsidRPr="000A43F1">
          <w:rPr>
            <w:rStyle w:val="Lienhypertexte"/>
            <w:noProof/>
          </w:rPr>
          <w:t>Correspondant local d’AMP vigilance (CLA)</w:t>
        </w:r>
        <w:r w:rsidR="000503FC">
          <w:rPr>
            <w:noProof/>
            <w:webHidden/>
          </w:rPr>
          <w:tab/>
        </w:r>
        <w:r w:rsidR="000503FC">
          <w:rPr>
            <w:noProof/>
            <w:webHidden/>
          </w:rPr>
          <w:fldChar w:fldCharType="begin"/>
        </w:r>
        <w:r w:rsidR="000503FC">
          <w:rPr>
            <w:noProof/>
            <w:webHidden/>
          </w:rPr>
          <w:instrText xml:space="preserve"> PAGEREF _Toc211503154 \h </w:instrText>
        </w:r>
        <w:r w:rsidR="000503FC">
          <w:rPr>
            <w:noProof/>
            <w:webHidden/>
          </w:rPr>
        </w:r>
        <w:r w:rsidR="000503FC">
          <w:rPr>
            <w:noProof/>
            <w:webHidden/>
          </w:rPr>
          <w:fldChar w:fldCharType="separate"/>
        </w:r>
        <w:r w:rsidR="000503FC">
          <w:rPr>
            <w:noProof/>
            <w:webHidden/>
          </w:rPr>
          <w:t>8</w:t>
        </w:r>
        <w:r w:rsidR="000503FC">
          <w:rPr>
            <w:noProof/>
            <w:webHidden/>
          </w:rPr>
          <w:fldChar w:fldCharType="end"/>
        </w:r>
      </w:hyperlink>
    </w:p>
    <w:p w14:paraId="4064216F" w14:textId="6D04F797"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55" w:history="1">
        <w:r w:rsidR="000503FC" w:rsidRPr="000A43F1">
          <w:rPr>
            <w:rStyle w:val="Lienhypertexte"/>
            <w:noProof/>
          </w:rPr>
          <w:t>ARTICLE 4 : ORGANISATION GENERALE DU CENTRE</w:t>
        </w:r>
        <w:r w:rsidR="000503FC">
          <w:rPr>
            <w:noProof/>
            <w:webHidden/>
          </w:rPr>
          <w:tab/>
        </w:r>
        <w:r w:rsidR="000503FC">
          <w:rPr>
            <w:noProof/>
            <w:webHidden/>
          </w:rPr>
          <w:fldChar w:fldCharType="begin"/>
        </w:r>
        <w:r w:rsidR="000503FC">
          <w:rPr>
            <w:noProof/>
            <w:webHidden/>
          </w:rPr>
          <w:instrText xml:space="preserve"> PAGEREF _Toc211503155 \h </w:instrText>
        </w:r>
        <w:r w:rsidR="000503FC">
          <w:rPr>
            <w:noProof/>
            <w:webHidden/>
          </w:rPr>
        </w:r>
        <w:r w:rsidR="000503FC">
          <w:rPr>
            <w:noProof/>
            <w:webHidden/>
          </w:rPr>
          <w:fldChar w:fldCharType="separate"/>
        </w:r>
        <w:r w:rsidR="000503FC">
          <w:rPr>
            <w:noProof/>
            <w:webHidden/>
          </w:rPr>
          <w:t>9</w:t>
        </w:r>
        <w:r w:rsidR="000503FC">
          <w:rPr>
            <w:noProof/>
            <w:webHidden/>
          </w:rPr>
          <w:fldChar w:fldCharType="end"/>
        </w:r>
      </w:hyperlink>
    </w:p>
    <w:p w14:paraId="5C636AA0" w14:textId="7D35361E"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56" w:history="1">
        <w:r w:rsidR="000503FC" w:rsidRPr="000A43F1">
          <w:rPr>
            <w:rStyle w:val="Lienhypertexte"/>
            <w:noProof/>
          </w:rPr>
          <w:t>L’assistance médicale à la procréation</w:t>
        </w:r>
        <w:r w:rsidR="000503FC">
          <w:rPr>
            <w:noProof/>
            <w:webHidden/>
          </w:rPr>
          <w:tab/>
        </w:r>
        <w:r w:rsidR="000503FC">
          <w:rPr>
            <w:noProof/>
            <w:webHidden/>
          </w:rPr>
          <w:fldChar w:fldCharType="begin"/>
        </w:r>
        <w:r w:rsidR="000503FC">
          <w:rPr>
            <w:noProof/>
            <w:webHidden/>
          </w:rPr>
          <w:instrText xml:space="preserve"> PAGEREF _Toc211503156 \h </w:instrText>
        </w:r>
        <w:r w:rsidR="000503FC">
          <w:rPr>
            <w:noProof/>
            <w:webHidden/>
          </w:rPr>
        </w:r>
        <w:r w:rsidR="000503FC">
          <w:rPr>
            <w:noProof/>
            <w:webHidden/>
          </w:rPr>
          <w:fldChar w:fldCharType="separate"/>
        </w:r>
        <w:r w:rsidR="000503FC">
          <w:rPr>
            <w:noProof/>
            <w:webHidden/>
          </w:rPr>
          <w:t>9</w:t>
        </w:r>
        <w:r w:rsidR="000503FC">
          <w:rPr>
            <w:noProof/>
            <w:webHidden/>
          </w:rPr>
          <w:fldChar w:fldCharType="end"/>
        </w:r>
      </w:hyperlink>
    </w:p>
    <w:p w14:paraId="6CFE6B04" w14:textId="0401D253"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57" w:history="1">
        <w:r w:rsidR="000503FC" w:rsidRPr="000A43F1">
          <w:rPr>
            <w:rStyle w:val="Lienhypertexte"/>
            <w:noProof/>
          </w:rPr>
          <w:t>AMP Clinique</w:t>
        </w:r>
        <w:r w:rsidR="000503FC">
          <w:rPr>
            <w:noProof/>
            <w:webHidden/>
          </w:rPr>
          <w:tab/>
        </w:r>
        <w:r w:rsidR="000503FC">
          <w:rPr>
            <w:noProof/>
            <w:webHidden/>
          </w:rPr>
          <w:fldChar w:fldCharType="begin"/>
        </w:r>
        <w:r w:rsidR="000503FC">
          <w:rPr>
            <w:noProof/>
            <w:webHidden/>
          </w:rPr>
          <w:instrText xml:space="preserve"> PAGEREF _Toc211503157 \h </w:instrText>
        </w:r>
        <w:r w:rsidR="000503FC">
          <w:rPr>
            <w:noProof/>
            <w:webHidden/>
          </w:rPr>
        </w:r>
        <w:r w:rsidR="000503FC">
          <w:rPr>
            <w:noProof/>
            <w:webHidden/>
          </w:rPr>
          <w:fldChar w:fldCharType="separate"/>
        </w:r>
        <w:r w:rsidR="000503FC">
          <w:rPr>
            <w:noProof/>
            <w:webHidden/>
          </w:rPr>
          <w:t>9</w:t>
        </w:r>
        <w:r w:rsidR="000503FC">
          <w:rPr>
            <w:noProof/>
            <w:webHidden/>
          </w:rPr>
          <w:fldChar w:fldCharType="end"/>
        </w:r>
      </w:hyperlink>
    </w:p>
    <w:p w14:paraId="775C720F" w14:textId="4D21A697"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58" w:history="1">
        <w:r w:rsidR="000503FC" w:rsidRPr="000A43F1">
          <w:rPr>
            <w:rStyle w:val="Lienhypertexte"/>
            <w:noProof/>
          </w:rPr>
          <w:t>AMP biologique</w:t>
        </w:r>
        <w:r w:rsidR="000503FC">
          <w:rPr>
            <w:noProof/>
            <w:webHidden/>
          </w:rPr>
          <w:tab/>
        </w:r>
        <w:r w:rsidR="000503FC">
          <w:rPr>
            <w:noProof/>
            <w:webHidden/>
          </w:rPr>
          <w:fldChar w:fldCharType="begin"/>
        </w:r>
        <w:r w:rsidR="000503FC">
          <w:rPr>
            <w:noProof/>
            <w:webHidden/>
          </w:rPr>
          <w:instrText xml:space="preserve"> PAGEREF _Toc211503158 \h </w:instrText>
        </w:r>
        <w:r w:rsidR="000503FC">
          <w:rPr>
            <w:noProof/>
            <w:webHidden/>
          </w:rPr>
        </w:r>
        <w:r w:rsidR="000503FC">
          <w:rPr>
            <w:noProof/>
            <w:webHidden/>
          </w:rPr>
          <w:fldChar w:fldCharType="separate"/>
        </w:r>
        <w:r w:rsidR="000503FC">
          <w:rPr>
            <w:noProof/>
            <w:webHidden/>
          </w:rPr>
          <w:t>9</w:t>
        </w:r>
        <w:r w:rsidR="000503FC">
          <w:rPr>
            <w:noProof/>
            <w:webHidden/>
          </w:rPr>
          <w:fldChar w:fldCharType="end"/>
        </w:r>
      </w:hyperlink>
    </w:p>
    <w:p w14:paraId="3090A229" w14:textId="004023CE" w:rsidR="000503FC" w:rsidRDefault="0014174E">
      <w:pPr>
        <w:pStyle w:val="TM3"/>
        <w:tabs>
          <w:tab w:val="right" w:pos="9346"/>
        </w:tabs>
        <w:rPr>
          <w:rFonts w:eastAsiaTheme="minorEastAsia" w:cstheme="minorBidi"/>
          <w:smallCaps w:val="0"/>
          <w:noProof/>
          <w:kern w:val="0"/>
          <w:lang w:eastAsia="fr-FR"/>
          <w14:ligatures w14:val="none"/>
        </w:rPr>
      </w:pPr>
      <w:hyperlink w:anchor="_Toc211503159" w:history="1">
        <w:r w:rsidR="000503FC" w:rsidRPr="000A43F1">
          <w:rPr>
            <w:rStyle w:val="Lienhypertexte"/>
            <w:noProof/>
          </w:rPr>
          <w:t>La fécondation in vitro et la culture embryonnaire</w:t>
        </w:r>
        <w:r w:rsidR="000503FC">
          <w:rPr>
            <w:noProof/>
            <w:webHidden/>
          </w:rPr>
          <w:tab/>
        </w:r>
        <w:r w:rsidR="000503FC">
          <w:rPr>
            <w:noProof/>
            <w:webHidden/>
          </w:rPr>
          <w:fldChar w:fldCharType="begin"/>
        </w:r>
        <w:r w:rsidR="000503FC">
          <w:rPr>
            <w:noProof/>
            <w:webHidden/>
          </w:rPr>
          <w:instrText xml:space="preserve"> PAGEREF _Toc211503159 \h </w:instrText>
        </w:r>
        <w:r w:rsidR="000503FC">
          <w:rPr>
            <w:noProof/>
            <w:webHidden/>
          </w:rPr>
        </w:r>
        <w:r w:rsidR="000503FC">
          <w:rPr>
            <w:noProof/>
            <w:webHidden/>
          </w:rPr>
          <w:fldChar w:fldCharType="separate"/>
        </w:r>
        <w:r w:rsidR="000503FC">
          <w:rPr>
            <w:noProof/>
            <w:webHidden/>
          </w:rPr>
          <w:t>9</w:t>
        </w:r>
        <w:r w:rsidR="000503FC">
          <w:rPr>
            <w:noProof/>
            <w:webHidden/>
          </w:rPr>
          <w:fldChar w:fldCharType="end"/>
        </w:r>
      </w:hyperlink>
    </w:p>
    <w:p w14:paraId="37A9CA59" w14:textId="2E7B4649" w:rsidR="000503FC" w:rsidRDefault="0014174E">
      <w:pPr>
        <w:pStyle w:val="TM3"/>
        <w:tabs>
          <w:tab w:val="right" w:pos="9346"/>
        </w:tabs>
        <w:rPr>
          <w:rFonts w:eastAsiaTheme="minorEastAsia" w:cstheme="minorBidi"/>
          <w:smallCaps w:val="0"/>
          <w:noProof/>
          <w:kern w:val="0"/>
          <w:lang w:eastAsia="fr-FR"/>
          <w14:ligatures w14:val="none"/>
        </w:rPr>
      </w:pPr>
      <w:hyperlink w:anchor="_Toc211503160" w:history="1">
        <w:r w:rsidR="000503FC" w:rsidRPr="000A43F1">
          <w:rPr>
            <w:rStyle w:val="Lienhypertexte"/>
            <w:noProof/>
          </w:rPr>
          <w:t>Le prélèvement de cellules embryonnaires (biopsie)</w:t>
        </w:r>
        <w:r w:rsidR="000503FC">
          <w:rPr>
            <w:noProof/>
            <w:webHidden/>
          </w:rPr>
          <w:tab/>
        </w:r>
        <w:r w:rsidR="000503FC">
          <w:rPr>
            <w:noProof/>
            <w:webHidden/>
          </w:rPr>
          <w:fldChar w:fldCharType="begin"/>
        </w:r>
        <w:r w:rsidR="000503FC">
          <w:rPr>
            <w:noProof/>
            <w:webHidden/>
          </w:rPr>
          <w:instrText xml:space="preserve"> PAGEREF _Toc211503160 \h </w:instrText>
        </w:r>
        <w:r w:rsidR="000503FC">
          <w:rPr>
            <w:noProof/>
            <w:webHidden/>
          </w:rPr>
        </w:r>
        <w:r w:rsidR="000503FC">
          <w:rPr>
            <w:noProof/>
            <w:webHidden/>
          </w:rPr>
          <w:fldChar w:fldCharType="separate"/>
        </w:r>
        <w:r w:rsidR="000503FC">
          <w:rPr>
            <w:noProof/>
            <w:webHidden/>
          </w:rPr>
          <w:t>9</w:t>
        </w:r>
        <w:r w:rsidR="000503FC">
          <w:rPr>
            <w:noProof/>
            <w:webHidden/>
          </w:rPr>
          <w:fldChar w:fldCharType="end"/>
        </w:r>
      </w:hyperlink>
    </w:p>
    <w:p w14:paraId="07C48ECE" w14:textId="624E419D"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61" w:history="1">
        <w:r w:rsidR="000503FC" w:rsidRPr="000A43F1">
          <w:rPr>
            <w:rStyle w:val="Lienhypertexte"/>
            <w:noProof/>
          </w:rPr>
          <w:t>La génétique médicale</w:t>
        </w:r>
        <w:r w:rsidR="000503FC">
          <w:rPr>
            <w:noProof/>
            <w:webHidden/>
          </w:rPr>
          <w:tab/>
        </w:r>
        <w:r w:rsidR="000503FC">
          <w:rPr>
            <w:noProof/>
            <w:webHidden/>
          </w:rPr>
          <w:fldChar w:fldCharType="begin"/>
        </w:r>
        <w:r w:rsidR="000503FC">
          <w:rPr>
            <w:noProof/>
            <w:webHidden/>
          </w:rPr>
          <w:instrText xml:space="preserve"> PAGEREF _Toc211503161 \h </w:instrText>
        </w:r>
        <w:r w:rsidR="000503FC">
          <w:rPr>
            <w:noProof/>
            <w:webHidden/>
          </w:rPr>
        </w:r>
        <w:r w:rsidR="000503FC">
          <w:rPr>
            <w:noProof/>
            <w:webHidden/>
          </w:rPr>
          <w:fldChar w:fldCharType="separate"/>
        </w:r>
        <w:r w:rsidR="000503FC">
          <w:rPr>
            <w:noProof/>
            <w:webHidden/>
          </w:rPr>
          <w:t>10</w:t>
        </w:r>
        <w:r w:rsidR="000503FC">
          <w:rPr>
            <w:noProof/>
            <w:webHidden/>
          </w:rPr>
          <w:fldChar w:fldCharType="end"/>
        </w:r>
      </w:hyperlink>
    </w:p>
    <w:p w14:paraId="1AA7197A" w14:textId="099872B5"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62" w:history="1">
        <w:r w:rsidR="000503FC" w:rsidRPr="000A43F1">
          <w:rPr>
            <w:rStyle w:val="Lienhypertexte"/>
            <w:noProof/>
          </w:rPr>
          <w:t>Génétique clinique</w:t>
        </w:r>
        <w:r w:rsidR="000503FC">
          <w:rPr>
            <w:noProof/>
            <w:webHidden/>
          </w:rPr>
          <w:tab/>
        </w:r>
        <w:r w:rsidR="000503FC">
          <w:rPr>
            <w:noProof/>
            <w:webHidden/>
          </w:rPr>
          <w:fldChar w:fldCharType="begin"/>
        </w:r>
        <w:r w:rsidR="000503FC">
          <w:rPr>
            <w:noProof/>
            <w:webHidden/>
          </w:rPr>
          <w:instrText xml:space="preserve"> PAGEREF _Toc211503162 \h </w:instrText>
        </w:r>
        <w:r w:rsidR="000503FC">
          <w:rPr>
            <w:noProof/>
            <w:webHidden/>
          </w:rPr>
        </w:r>
        <w:r w:rsidR="000503FC">
          <w:rPr>
            <w:noProof/>
            <w:webHidden/>
          </w:rPr>
          <w:fldChar w:fldCharType="separate"/>
        </w:r>
        <w:r w:rsidR="000503FC">
          <w:rPr>
            <w:noProof/>
            <w:webHidden/>
          </w:rPr>
          <w:t>10</w:t>
        </w:r>
        <w:r w:rsidR="000503FC">
          <w:rPr>
            <w:noProof/>
            <w:webHidden/>
          </w:rPr>
          <w:fldChar w:fldCharType="end"/>
        </w:r>
      </w:hyperlink>
    </w:p>
    <w:p w14:paraId="17893058" w14:textId="18D8682A"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63" w:history="1">
        <w:r w:rsidR="000503FC" w:rsidRPr="000A43F1">
          <w:rPr>
            <w:rStyle w:val="Lienhypertexte"/>
            <w:noProof/>
          </w:rPr>
          <w:t>Génétique biologique</w:t>
        </w:r>
        <w:r w:rsidR="000503FC">
          <w:rPr>
            <w:noProof/>
            <w:webHidden/>
          </w:rPr>
          <w:tab/>
        </w:r>
        <w:r w:rsidR="000503FC">
          <w:rPr>
            <w:noProof/>
            <w:webHidden/>
          </w:rPr>
          <w:fldChar w:fldCharType="begin"/>
        </w:r>
        <w:r w:rsidR="000503FC">
          <w:rPr>
            <w:noProof/>
            <w:webHidden/>
          </w:rPr>
          <w:instrText xml:space="preserve"> PAGEREF _Toc211503163 \h </w:instrText>
        </w:r>
        <w:r w:rsidR="000503FC">
          <w:rPr>
            <w:noProof/>
            <w:webHidden/>
          </w:rPr>
        </w:r>
        <w:r w:rsidR="000503FC">
          <w:rPr>
            <w:noProof/>
            <w:webHidden/>
          </w:rPr>
          <w:fldChar w:fldCharType="separate"/>
        </w:r>
        <w:r w:rsidR="000503FC">
          <w:rPr>
            <w:noProof/>
            <w:webHidden/>
          </w:rPr>
          <w:t>10</w:t>
        </w:r>
        <w:r w:rsidR="000503FC">
          <w:rPr>
            <w:noProof/>
            <w:webHidden/>
          </w:rPr>
          <w:fldChar w:fldCharType="end"/>
        </w:r>
      </w:hyperlink>
    </w:p>
    <w:p w14:paraId="05105D57" w14:textId="452C1A3F"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64" w:history="1">
        <w:r w:rsidR="000503FC" w:rsidRPr="000A43F1">
          <w:rPr>
            <w:rStyle w:val="Lienhypertexte"/>
            <w:noProof/>
          </w:rPr>
          <w:t>Génétique moléculaire et Cytogénétique</w:t>
        </w:r>
        <w:r w:rsidR="000503FC">
          <w:rPr>
            <w:noProof/>
            <w:webHidden/>
          </w:rPr>
          <w:tab/>
        </w:r>
        <w:r w:rsidR="000503FC">
          <w:rPr>
            <w:noProof/>
            <w:webHidden/>
          </w:rPr>
          <w:fldChar w:fldCharType="begin"/>
        </w:r>
        <w:r w:rsidR="000503FC">
          <w:rPr>
            <w:noProof/>
            <w:webHidden/>
          </w:rPr>
          <w:instrText xml:space="preserve"> PAGEREF _Toc211503164 \h </w:instrText>
        </w:r>
        <w:r w:rsidR="000503FC">
          <w:rPr>
            <w:noProof/>
            <w:webHidden/>
          </w:rPr>
        </w:r>
        <w:r w:rsidR="000503FC">
          <w:rPr>
            <w:noProof/>
            <w:webHidden/>
          </w:rPr>
          <w:fldChar w:fldCharType="separate"/>
        </w:r>
        <w:r w:rsidR="000503FC">
          <w:rPr>
            <w:noProof/>
            <w:webHidden/>
          </w:rPr>
          <w:t>10</w:t>
        </w:r>
        <w:r w:rsidR="000503FC">
          <w:rPr>
            <w:noProof/>
            <w:webHidden/>
          </w:rPr>
          <w:fldChar w:fldCharType="end"/>
        </w:r>
      </w:hyperlink>
    </w:p>
    <w:p w14:paraId="5FD97D03" w14:textId="5C140CAB"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65" w:history="1">
        <w:r w:rsidR="000503FC" w:rsidRPr="000A43F1">
          <w:rPr>
            <w:rStyle w:val="Lienhypertexte"/>
            <w:noProof/>
          </w:rPr>
          <w:t>Lien avec les CPDPN</w:t>
        </w:r>
        <w:r w:rsidR="000503FC">
          <w:rPr>
            <w:noProof/>
            <w:webHidden/>
          </w:rPr>
          <w:tab/>
        </w:r>
        <w:r w:rsidR="000503FC">
          <w:rPr>
            <w:noProof/>
            <w:webHidden/>
          </w:rPr>
          <w:fldChar w:fldCharType="begin"/>
        </w:r>
        <w:r w:rsidR="000503FC">
          <w:rPr>
            <w:noProof/>
            <w:webHidden/>
          </w:rPr>
          <w:instrText xml:space="preserve"> PAGEREF _Toc211503165 \h </w:instrText>
        </w:r>
        <w:r w:rsidR="000503FC">
          <w:rPr>
            <w:noProof/>
            <w:webHidden/>
          </w:rPr>
        </w:r>
        <w:r w:rsidR="000503FC">
          <w:rPr>
            <w:noProof/>
            <w:webHidden/>
          </w:rPr>
          <w:fldChar w:fldCharType="separate"/>
        </w:r>
        <w:r w:rsidR="000503FC">
          <w:rPr>
            <w:noProof/>
            <w:webHidden/>
          </w:rPr>
          <w:t>11</w:t>
        </w:r>
        <w:r w:rsidR="000503FC">
          <w:rPr>
            <w:noProof/>
            <w:webHidden/>
          </w:rPr>
          <w:fldChar w:fldCharType="end"/>
        </w:r>
      </w:hyperlink>
    </w:p>
    <w:p w14:paraId="359DD4F3" w14:textId="4213DADB"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66" w:history="1">
        <w:r w:rsidR="000503FC" w:rsidRPr="000A43F1">
          <w:rPr>
            <w:rStyle w:val="Lienhypertexte"/>
            <w:noProof/>
          </w:rPr>
          <w:t>CPDPN extérieur au CDPI</w:t>
        </w:r>
        <w:r w:rsidR="000503FC">
          <w:rPr>
            <w:noProof/>
            <w:webHidden/>
          </w:rPr>
          <w:tab/>
        </w:r>
        <w:r w:rsidR="000503FC">
          <w:rPr>
            <w:noProof/>
            <w:webHidden/>
          </w:rPr>
          <w:fldChar w:fldCharType="begin"/>
        </w:r>
        <w:r w:rsidR="000503FC">
          <w:rPr>
            <w:noProof/>
            <w:webHidden/>
          </w:rPr>
          <w:instrText xml:space="preserve"> PAGEREF _Toc211503166 \h </w:instrText>
        </w:r>
        <w:r w:rsidR="000503FC">
          <w:rPr>
            <w:noProof/>
            <w:webHidden/>
          </w:rPr>
        </w:r>
        <w:r w:rsidR="000503FC">
          <w:rPr>
            <w:noProof/>
            <w:webHidden/>
          </w:rPr>
          <w:fldChar w:fldCharType="separate"/>
        </w:r>
        <w:r w:rsidR="000503FC">
          <w:rPr>
            <w:noProof/>
            <w:webHidden/>
          </w:rPr>
          <w:t>11</w:t>
        </w:r>
        <w:r w:rsidR="000503FC">
          <w:rPr>
            <w:noProof/>
            <w:webHidden/>
          </w:rPr>
          <w:fldChar w:fldCharType="end"/>
        </w:r>
      </w:hyperlink>
    </w:p>
    <w:p w14:paraId="02FF4799" w14:textId="24496AFA"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67" w:history="1">
        <w:r w:rsidR="000503FC" w:rsidRPr="000A43F1">
          <w:rPr>
            <w:rStyle w:val="Lienhypertexte"/>
            <w:noProof/>
          </w:rPr>
          <w:t>CPDPN propre au centre DPI</w:t>
        </w:r>
        <w:r w:rsidR="000503FC">
          <w:rPr>
            <w:noProof/>
            <w:webHidden/>
          </w:rPr>
          <w:tab/>
        </w:r>
        <w:r w:rsidR="000503FC">
          <w:rPr>
            <w:noProof/>
            <w:webHidden/>
          </w:rPr>
          <w:fldChar w:fldCharType="begin"/>
        </w:r>
        <w:r w:rsidR="000503FC">
          <w:rPr>
            <w:noProof/>
            <w:webHidden/>
          </w:rPr>
          <w:instrText xml:space="preserve"> PAGEREF _Toc211503167 \h </w:instrText>
        </w:r>
        <w:r w:rsidR="000503FC">
          <w:rPr>
            <w:noProof/>
            <w:webHidden/>
          </w:rPr>
        </w:r>
        <w:r w:rsidR="000503FC">
          <w:rPr>
            <w:noProof/>
            <w:webHidden/>
          </w:rPr>
          <w:fldChar w:fldCharType="separate"/>
        </w:r>
        <w:r w:rsidR="000503FC">
          <w:rPr>
            <w:noProof/>
            <w:webHidden/>
          </w:rPr>
          <w:t>11</w:t>
        </w:r>
        <w:r w:rsidR="000503FC">
          <w:rPr>
            <w:noProof/>
            <w:webHidden/>
          </w:rPr>
          <w:fldChar w:fldCharType="end"/>
        </w:r>
      </w:hyperlink>
    </w:p>
    <w:p w14:paraId="166A597A" w14:textId="44B25C62"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68" w:history="1">
        <w:r w:rsidR="000503FC" w:rsidRPr="000A43F1">
          <w:rPr>
            <w:rStyle w:val="Lienhypertexte"/>
            <w:noProof/>
          </w:rPr>
          <w:t>Réunions de concertation pluridisciplinaires du CDPI</w:t>
        </w:r>
        <w:r w:rsidR="000503FC">
          <w:rPr>
            <w:noProof/>
            <w:webHidden/>
          </w:rPr>
          <w:tab/>
        </w:r>
        <w:r w:rsidR="000503FC">
          <w:rPr>
            <w:noProof/>
            <w:webHidden/>
          </w:rPr>
          <w:fldChar w:fldCharType="begin"/>
        </w:r>
        <w:r w:rsidR="000503FC">
          <w:rPr>
            <w:noProof/>
            <w:webHidden/>
          </w:rPr>
          <w:instrText xml:space="preserve"> PAGEREF _Toc211503168 \h </w:instrText>
        </w:r>
        <w:r w:rsidR="000503FC">
          <w:rPr>
            <w:noProof/>
            <w:webHidden/>
          </w:rPr>
        </w:r>
        <w:r w:rsidR="000503FC">
          <w:rPr>
            <w:noProof/>
            <w:webHidden/>
          </w:rPr>
          <w:fldChar w:fldCharType="separate"/>
        </w:r>
        <w:r w:rsidR="000503FC">
          <w:rPr>
            <w:noProof/>
            <w:webHidden/>
          </w:rPr>
          <w:t>11</w:t>
        </w:r>
        <w:r w:rsidR="000503FC">
          <w:rPr>
            <w:noProof/>
            <w:webHidden/>
          </w:rPr>
          <w:fldChar w:fldCharType="end"/>
        </w:r>
      </w:hyperlink>
    </w:p>
    <w:p w14:paraId="08F76D33" w14:textId="004C0E48"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69" w:history="1">
        <w:r w:rsidR="000503FC" w:rsidRPr="000A43F1">
          <w:rPr>
            <w:rStyle w:val="Lienhypertexte"/>
            <w:noProof/>
          </w:rPr>
          <w:t>Réunions propres au CDPI</w:t>
        </w:r>
        <w:r w:rsidR="000503FC">
          <w:rPr>
            <w:noProof/>
            <w:webHidden/>
          </w:rPr>
          <w:tab/>
        </w:r>
        <w:r w:rsidR="000503FC">
          <w:rPr>
            <w:noProof/>
            <w:webHidden/>
          </w:rPr>
          <w:fldChar w:fldCharType="begin"/>
        </w:r>
        <w:r w:rsidR="000503FC">
          <w:rPr>
            <w:noProof/>
            <w:webHidden/>
          </w:rPr>
          <w:instrText xml:space="preserve"> PAGEREF _Toc211503169 \h </w:instrText>
        </w:r>
        <w:r w:rsidR="000503FC">
          <w:rPr>
            <w:noProof/>
            <w:webHidden/>
          </w:rPr>
        </w:r>
        <w:r w:rsidR="000503FC">
          <w:rPr>
            <w:noProof/>
            <w:webHidden/>
          </w:rPr>
          <w:fldChar w:fldCharType="separate"/>
        </w:r>
        <w:r w:rsidR="000503FC">
          <w:rPr>
            <w:noProof/>
            <w:webHidden/>
          </w:rPr>
          <w:t>11</w:t>
        </w:r>
        <w:r w:rsidR="000503FC">
          <w:rPr>
            <w:noProof/>
            <w:webHidden/>
          </w:rPr>
          <w:fldChar w:fldCharType="end"/>
        </w:r>
      </w:hyperlink>
    </w:p>
    <w:p w14:paraId="1724F9C6" w14:textId="24B8A282"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70" w:history="1">
        <w:r w:rsidR="000503FC" w:rsidRPr="000A43F1">
          <w:rPr>
            <w:rStyle w:val="Lienhypertexte"/>
            <w:noProof/>
          </w:rPr>
          <w:t>Réunions régulières du CPDPN rattaché au CDPI</w:t>
        </w:r>
        <w:r w:rsidR="000503FC">
          <w:rPr>
            <w:noProof/>
            <w:webHidden/>
          </w:rPr>
          <w:tab/>
        </w:r>
        <w:r w:rsidR="000503FC">
          <w:rPr>
            <w:noProof/>
            <w:webHidden/>
          </w:rPr>
          <w:fldChar w:fldCharType="begin"/>
        </w:r>
        <w:r w:rsidR="000503FC">
          <w:rPr>
            <w:noProof/>
            <w:webHidden/>
          </w:rPr>
          <w:instrText xml:space="preserve"> PAGEREF _Toc211503170 \h </w:instrText>
        </w:r>
        <w:r w:rsidR="000503FC">
          <w:rPr>
            <w:noProof/>
            <w:webHidden/>
          </w:rPr>
        </w:r>
        <w:r w:rsidR="000503FC">
          <w:rPr>
            <w:noProof/>
            <w:webHidden/>
          </w:rPr>
          <w:fldChar w:fldCharType="separate"/>
        </w:r>
        <w:r w:rsidR="000503FC">
          <w:rPr>
            <w:noProof/>
            <w:webHidden/>
          </w:rPr>
          <w:t>12</w:t>
        </w:r>
        <w:r w:rsidR="000503FC">
          <w:rPr>
            <w:noProof/>
            <w:webHidden/>
          </w:rPr>
          <w:fldChar w:fldCharType="end"/>
        </w:r>
      </w:hyperlink>
    </w:p>
    <w:p w14:paraId="008ED5E8" w14:textId="54582BA4"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71" w:history="1">
        <w:r w:rsidR="000503FC" w:rsidRPr="000A43F1">
          <w:rPr>
            <w:rStyle w:val="Lienhypertexte"/>
            <w:noProof/>
          </w:rPr>
          <w:t>Actions de formation</w:t>
        </w:r>
        <w:r w:rsidR="000503FC">
          <w:rPr>
            <w:noProof/>
            <w:webHidden/>
          </w:rPr>
          <w:tab/>
        </w:r>
        <w:r w:rsidR="000503FC">
          <w:rPr>
            <w:noProof/>
            <w:webHidden/>
          </w:rPr>
          <w:fldChar w:fldCharType="begin"/>
        </w:r>
        <w:r w:rsidR="000503FC">
          <w:rPr>
            <w:noProof/>
            <w:webHidden/>
          </w:rPr>
          <w:instrText xml:space="preserve"> PAGEREF _Toc211503171 \h </w:instrText>
        </w:r>
        <w:r w:rsidR="000503FC">
          <w:rPr>
            <w:noProof/>
            <w:webHidden/>
          </w:rPr>
        </w:r>
        <w:r w:rsidR="000503FC">
          <w:rPr>
            <w:noProof/>
            <w:webHidden/>
          </w:rPr>
          <w:fldChar w:fldCharType="separate"/>
        </w:r>
        <w:r w:rsidR="000503FC">
          <w:rPr>
            <w:noProof/>
            <w:webHidden/>
          </w:rPr>
          <w:t>12</w:t>
        </w:r>
        <w:r w:rsidR="000503FC">
          <w:rPr>
            <w:noProof/>
            <w:webHidden/>
          </w:rPr>
          <w:fldChar w:fldCharType="end"/>
        </w:r>
      </w:hyperlink>
    </w:p>
    <w:p w14:paraId="02B0E8DF" w14:textId="2F0AA470"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72" w:history="1">
        <w:r w:rsidR="000503FC" w:rsidRPr="000A43F1">
          <w:rPr>
            <w:rStyle w:val="Lienhypertexte"/>
            <w:noProof/>
          </w:rPr>
          <w:t>Rapport d’activité</w:t>
        </w:r>
        <w:r w:rsidR="000503FC">
          <w:rPr>
            <w:noProof/>
            <w:webHidden/>
          </w:rPr>
          <w:tab/>
        </w:r>
        <w:r w:rsidR="000503FC">
          <w:rPr>
            <w:noProof/>
            <w:webHidden/>
          </w:rPr>
          <w:fldChar w:fldCharType="begin"/>
        </w:r>
        <w:r w:rsidR="000503FC">
          <w:rPr>
            <w:noProof/>
            <w:webHidden/>
          </w:rPr>
          <w:instrText xml:space="preserve"> PAGEREF _Toc211503172 \h </w:instrText>
        </w:r>
        <w:r w:rsidR="000503FC">
          <w:rPr>
            <w:noProof/>
            <w:webHidden/>
          </w:rPr>
        </w:r>
        <w:r w:rsidR="000503FC">
          <w:rPr>
            <w:noProof/>
            <w:webHidden/>
          </w:rPr>
          <w:fldChar w:fldCharType="separate"/>
        </w:r>
        <w:r w:rsidR="000503FC">
          <w:rPr>
            <w:noProof/>
            <w:webHidden/>
          </w:rPr>
          <w:t>12</w:t>
        </w:r>
        <w:r w:rsidR="000503FC">
          <w:rPr>
            <w:noProof/>
            <w:webHidden/>
          </w:rPr>
          <w:fldChar w:fldCharType="end"/>
        </w:r>
      </w:hyperlink>
    </w:p>
    <w:p w14:paraId="57E26058" w14:textId="0EED2335"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73" w:history="1">
        <w:r w:rsidR="000503FC" w:rsidRPr="000A43F1">
          <w:rPr>
            <w:rStyle w:val="Lienhypertexte"/>
            <w:noProof/>
          </w:rPr>
          <w:t>ARTICLE 5 : MANAGEMENT QUALITE ET VIGILANCE</w:t>
        </w:r>
        <w:r w:rsidR="000503FC">
          <w:rPr>
            <w:noProof/>
            <w:webHidden/>
          </w:rPr>
          <w:tab/>
        </w:r>
        <w:r w:rsidR="000503FC">
          <w:rPr>
            <w:noProof/>
            <w:webHidden/>
          </w:rPr>
          <w:fldChar w:fldCharType="begin"/>
        </w:r>
        <w:r w:rsidR="000503FC">
          <w:rPr>
            <w:noProof/>
            <w:webHidden/>
          </w:rPr>
          <w:instrText xml:space="preserve"> PAGEREF _Toc211503173 \h </w:instrText>
        </w:r>
        <w:r w:rsidR="000503FC">
          <w:rPr>
            <w:noProof/>
            <w:webHidden/>
          </w:rPr>
        </w:r>
        <w:r w:rsidR="000503FC">
          <w:rPr>
            <w:noProof/>
            <w:webHidden/>
          </w:rPr>
          <w:fldChar w:fldCharType="separate"/>
        </w:r>
        <w:r w:rsidR="000503FC">
          <w:rPr>
            <w:noProof/>
            <w:webHidden/>
          </w:rPr>
          <w:t>12</w:t>
        </w:r>
        <w:r w:rsidR="000503FC">
          <w:rPr>
            <w:noProof/>
            <w:webHidden/>
          </w:rPr>
          <w:fldChar w:fldCharType="end"/>
        </w:r>
      </w:hyperlink>
    </w:p>
    <w:p w14:paraId="2296F130" w14:textId="4391D096"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74" w:history="1">
        <w:r w:rsidR="000503FC" w:rsidRPr="000A43F1">
          <w:rPr>
            <w:rStyle w:val="Lienhypertexte"/>
            <w:noProof/>
          </w:rPr>
          <w:t>Management de la qualité</w:t>
        </w:r>
        <w:r w:rsidR="000503FC">
          <w:rPr>
            <w:noProof/>
            <w:webHidden/>
          </w:rPr>
          <w:tab/>
        </w:r>
        <w:r w:rsidR="000503FC">
          <w:rPr>
            <w:noProof/>
            <w:webHidden/>
          </w:rPr>
          <w:fldChar w:fldCharType="begin"/>
        </w:r>
        <w:r w:rsidR="000503FC">
          <w:rPr>
            <w:noProof/>
            <w:webHidden/>
          </w:rPr>
          <w:instrText xml:space="preserve"> PAGEREF _Toc211503174 \h </w:instrText>
        </w:r>
        <w:r w:rsidR="000503FC">
          <w:rPr>
            <w:noProof/>
            <w:webHidden/>
          </w:rPr>
        </w:r>
        <w:r w:rsidR="000503FC">
          <w:rPr>
            <w:noProof/>
            <w:webHidden/>
          </w:rPr>
          <w:fldChar w:fldCharType="separate"/>
        </w:r>
        <w:r w:rsidR="000503FC">
          <w:rPr>
            <w:noProof/>
            <w:webHidden/>
          </w:rPr>
          <w:t>12</w:t>
        </w:r>
        <w:r w:rsidR="000503FC">
          <w:rPr>
            <w:noProof/>
            <w:webHidden/>
          </w:rPr>
          <w:fldChar w:fldCharType="end"/>
        </w:r>
      </w:hyperlink>
    </w:p>
    <w:p w14:paraId="13AF882C" w14:textId="056FB16D" w:rsidR="000503FC" w:rsidRDefault="0014174E">
      <w:pPr>
        <w:pStyle w:val="TM3"/>
        <w:tabs>
          <w:tab w:val="right" w:pos="9346"/>
        </w:tabs>
        <w:rPr>
          <w:rFonts w:eastAsiaTheme="minorEastAsia" w:cstheme="minorBidi"/>
          <w:smallCaps w:val="0"/>
          <w:noProof/>
          <w:kern w:val="0"/>
          <w:lang w:eastAsia="fr-FR"/>
          <w14:ligatures w14:val="none"/>
        </w:rPr>
      </w:pPr>
      <w:hyperlink w:anchor="_Toc211503175" w:history="1">
        <w:r w:rsidR="000503FC" w:rsidRPr="000A43F1">
          <w:rPr>
            <w:rStyle w:val="Lienhypertexte"/>
            <w:noProof/>
          </w:rPr>
          <w:t>Généralités</w:t>
        </w:r>
        <w:r w:rsidR="000503FC">
          <w:rPr>
            <w:noProof/>
            <w:webHidden/>
          </w:rPr>
          <w:tab/>
        </w:r>
        <w:r w:rsidR="000503FC">
          <w:rPr>
            <w:noProof/>
            <w:webHidden/>
          </w:rPr>
          <w:fldChar w:fldCharType="begin"/>
        </w:r>
        <w:r w:rsidR="000503FC">
          <w:rPr>
            <w:noProof/>
            <w:webHidden/>
          </w:rPr>
          <w:instrText xml:space="preserve"> PAGEREF _Toc211503175 \h </w:instrText>
        </w:r>
        <w:r w:rsidR="000503FC">
          <w:rPr>
            <w:noProof/>
            <w:webHidden/>
          </w:rPr>
        </w:r>
        <w:r w:rsidR="000503FC">
          <w:rPr>
            <w:noProof/>
            <w:webHidden/>
          </w:rPr>
          <w:fldChar w:fldCharType="separate"/>
        </w:r>
        <w:r w:rsidR="000503FC">
          <w:rPr>
            <w:noProof/>
            <w:webHidden/>
          </w:rPr>
          <w:t>12</w:t>
        </w:r>
        <w:r w:rsidR="000503FC">
          <w:rPr>
            <w:noProof/>
            <w:webHidden/>
          </w:rPr>
          <w:fldChar w:fldCharType="end"/>
        </w:r>
      </w:hyperlink>
    </w:p>
    <w:p w14:paraId="5007A945" w14:textId="0E8AB6D9" w:rsidR="000503FC" w:rsidRDefault="0014174E">
      <w:pPr>
        <w:pStyle w:val="TM3"/>
        <w:tabs>
          <w:tab w:val="right" w:pos="9346"/>
        </w:tabs>
        <w:rPr>
          <w:rFonts w:eastAsiaTheme="minorEastAsia" w:cstheme="minorBidi"/>
          <w:smallCaps w:val="0"/>
          <w:noProof/>
          <w:kern w:val="0"/>
          <w:lang w:eastAsia="fr-FR"/>
          <w14:ligatures w14:val="none"/>
        </w:rPr>
      </w:pPr>
      <w:hyperlink w:anchor="_Toc211503176" w:history="1">
        <w:r w:rsidR="000503FC" w:rsidRPr="000A43F1">
          <w:rPr>
            <w:rStyle w:val="Lienhypertexte"/>
            <w:noProof/>
          </w:rPr>
          <w:t>Documentation</w:t>
        </w:r>
        <w:r w:rsidR="000503FC">
          <w:rPr>
            <w:noProof/>
            <w:webHidden/>
          </w:rPr>
          <w:tab/>
        </w:r>
        <w:r w:rsidR="000503FC">
          <w:rPr>
            <w:noProof/>
            <w:webHidden/>
          </w:rPr>
          <w:fldChar w:fldCharType="begin"/>
        </w:r>
        <w:r w:rsidR="000503FC">
          <w:rPr>
            <w:noProof/>
            <w:webHidden/>
          </w:rPr>
          <w:instrText xml:space="preserve"> PAGEREF _Toc211503176 \h </w:instrText>
        </w:r>
        <w:r w:rsidR="000503FC">
          <w:rPr>
            <w:noProof/>
            <w:webHidden/>
          </w:rPr>
        </w:r>
        <w:r w:rsidR="000503FC">
          <w:rPr>
            <w:noProof/>
            <w:webHidden/>
          </w:rPr>
          <w:fldChar w:fldCharType="separate"/>
        </w:r>
        <w:r w:rsidR="000503FC">
          <w:rPr>
            <w:noProof/>
            <w:webHidden/>
          </w:rPr>
          <w:t>13</w:t>
        </w:r>
        <w:r w:rsidR="000503FC">
          <w:rPr>
            <w:noProof/>
            <w:webHidden/>
          </w:rPr>
          <w:fldChar w:fldCharType="end"/>
        </w:r>
      </w:hyperlink>
    </w:p>
    <w:p w14:paraId="50F59920" w14:textId="0597BF8C" w:rsidR="000503FC" w:rsidRDefault="0014174E">
      <w:pPr>
        <w:pStyle w:val="TM3"/>
        <w:tabs>
          <w:tab w:val="right" w:pos="9346"/>
        </w:tabs>
        <w:rPr>
          <w:rFonts w:eastAsiaTheme="minorEastAsia" w:cstheme="minorBidi"/>
          <w:smallCaps w:val="0"/>
          <w:noProof/>
          <w:kern w:val="0"/>
          <w:lang w:eastAsia="fr-FR"/>
          <w14:ligatures w14:val="none"/>
        </w:rPr>
      </w:pPr>
      <w:hyperlink w:anchor="_Toc211503177" w:history="1">
        <w:r w:rsidR="000503FC" w:rsidRPr="000A43F1">
          <w:rPr>
            <w:rStyle w:val="Lienhypertexte"/>
            <w:noProof/>
          </w:rPr>
          <w:t>Dossier médical</w:t>
        </w:r>
        <w:r w:rsidR="000503FC">
          <w:rPr>
            <w:noProof/>
            <w:webHidden/>
          </w:rPr>
          <w:tab/>
        </w:r>
        <w:r w:rsidR="000503FC">
          <w:rPr>
            <w:noProof/>
            <w:webHidden/>
          </w:rPr>
          <w:fldChar w:fldCharType="begin"/>
        </w:r>
        <w:r w:rsidR="000503FC">
          <w:rPr>
            <w:noProof/>
            <w:webHidden/>
          </w:rPr>
          <w:instrText xml:space="preserve"> PAGEREF _Toc211503177 \h </w:instrText>
        </w:r>
        <w:r w:rsidR="000503FC">
          <w:rPr>
            <w:noProof/>
            <w:webHidden/>
          </w:rPr>
        </w:r>
        <w:r w:rsidR="000503FC">
          <w:rPr>
            <w:noProof/>
            <w:webHidden/>
          </w:rPr>
          <w:fldChar w:fldCharType="separate"/>
        </w:r>
        <w:r w:rsidR="000503FC">
          <w:rPr>
            <w:noProof/>
            <w:webHidden/>
          </w:rPr>
          <w:t>13</w:t>
        </w:r>
        <w:r w:rsidR="000503FC">
          <w:rPr>
            <w:noProof/>
            <w:webHidden/>
          </w:rPr>
          <w:fldChar w:fldCharType="end"/>
        </w:r>
      </w:hyperlink>
    </w:p>
    <w:p w14:paraId="79005164" w14:textId="3EB73090" w:rsidR="000503FC" w:rsidRDefault="0014174E">
      <w:pPr>
        <w:pStyle w:val="TM3"/>
        <w:tabs>
          <w:tab w:val="right" w:pos="9346"/>
        </w:tabs>
        <w:rPr>
          <w:rFonts w:eastAsiaTheme="minorEastAsia" w:cstheme="minorBidi"/>
          <w:smallCaps w:val="0"/>
          <w:noProof/>
          <w:kern w:val="0"/>
          <w:lang w:eastAsia="fr-FR"/>
          <w14:ligatures w14:val="none"/>
        </w:rPr>
      </w:pPr>
      <w:hyperlink w:anchor="_Toc211503178" w:history="1">
        <w:r w:rsidR="000503FC" w:rsidRPr="000A43F1">
          <w:rPr>
            <w:rStyle w:val="Lienhypertexte"/>
            <w:noProof/>
          </w:rPr>
          <w:t>Conservation des informations relatives aux diagnostics en toute confidentialité</w:t>
        </w:r>
        <w:r w:rsidR="000503FC">
          <w:rPr>
            <w:noProof/>
            <w:webHidden/>
          </w:rPr>
          <w:tab/>
        </w:r>
        <w:r w:rsidR="000503FC">
          <w:rPr>
            <w:noProof/>
            <w:webHidden/>
          </w:rPr>
          <w:fldChar w:fldCharType="begin"/>
        </w:r>
        <w:r w:rsidR="000503FC">
          <w:rPr>
            <w:noProof/>
            <w:webHidden/>
          </w:rPr>
          <w:instrText xml:space="preserve"> PAGEREF _Toc211503178 \h </w:instrText>
        </w:r>
        <w:r w:rsidR="000503FC">
          <w:rPr>
            <w:noProof/>
            <w:webHidden/>
          </w:rPr>
        </w:r>
        <w:r w:rsidR="000503FC">
          <w:rPr>
            <w:noProof/>
            <w:webHidden/>
          </w:rPr>
          <w:fldChar w:fldCharType="separate"/>
        </w:r>
        <w:r w:rsidR="000503FC">
          <w:rPr>
            <w:noProof/>
            <w:webHidden/>
          </w:rPr>
          <w:t>14</w:t>
        </w:r>
        <w:r w:rsidR="000503FC">
          <w:rPr>
            <w:noProof/>
            <w:webHidden/>
          </w:rPr>
          <w:fldChar w:fldCharType="end"/>
        </w:r>
      </w:hyperlink>
    </w:p>
    <w:p w14:paraId="1C3F5155" w14:textId="3D946942" w:rsidR="000503FC" w:rsidRDefault="0014174E">
      <w:pPr>
        <w:pStyle w:val="TM3"/>
        <w:tabs>
          <w:tab w:val="right" w:pos="9346"/>
        </w:tabs>
        <w:rPr>
          <w:rFonts w:eastAsiaTheme="minorEastAsia" w:cstheme="minorBidi"/>
          <w:smallCaps w:val="0"/>
          <w:noProof/>
          <w:kern w:val="0"/>
          <w:lang w:eastAsia="fr-FR"/>
          <w14:ligatures w14:val="none"/>
        </w:rPr>
      </w:pPr>
      <w:hyperlink w:anchor="_Toc211503179" w:history="1">
        <w:r w:rsidR="000503FC" w:rsidRPr="000A43F1">
          <w:rPr>
            <w:rStyle w:val="Lienhypertexte"/>
            <w:noProof/>
          </w:rPr>
          <w:t>Traçabilité et identitovigilance</w:t>
        </w:r>
        <w:r w:rsidR="000503FC">
          <w:rPr>
            <w:noProof/>
            <w:webHidden/>
          </w:rPr>
          <w:tab/>
        </w:r>
        <w:r w:rsidR="000503FC">
          <w:rPr>
            <w:noProof/>
            <w:webHidden/>
          </w:rPr>
          <w:fldChar w:fldCharType="begin"/>
        </w:r>
        <w:r w:rsidR="000503FC">
          <w:rPr>
            <w:noProof/>
            <w:webHidden/>
          </w:rPr>
          <w:instrText xml:space="preserve"> PAGEREF _Toc211503179 \h </w:instrText>
        </w:r>
        <w:r w:rsidR="000503FC">
          <w:rPr>
            <w:noProof/>
            <w:webHidden/>
          </w:rPr>
        </w:r>
        <w:r w:rsidR="000503FC">
          <w:rPr>
            <w:noProof/>
            <w:webHidden/>
          </w:rPr>
          <w:fldChar w:fldCharType="separate"/>
        </w:r>
        <w:r w:rsidR="000503FC">
          <w:rPr>
            <w:noProof/>
            <w:webHidden/>
          </w:rPr>
          <w:t>14</w:t>
        </w:r>
        <w:r w:rsidR="000503FC">
          <w:rPr>
            <w:noProof/>
            <w:webHidden/>
          </w:rPr>
          <w:fldChar w:fldCharType="end"/>
        </w:r>
      </w:hyperlink>
    </w:p>
    <w:p w14:paraId="441FE1DA" w14:textId="35A658D2" w:rsidR="000503FC" w:rsidRDefault="0014174E">
      <w:pPr>
        <w:pStyle w:val="TM2"/>
        <w:tabs>
          <w:tab w:val="right" w:pos="9346"/>
        </w:tabs>
        <w:rPr>
          <w:rFonts w:eastAsiaTheme="minorEastAsia" w:cstheme="minorBidi"/>
          <w:b w:val="0"/>
          <w:bCs w:val="0"/>
          <w:smallCaps w:val="0"/>
          <w:noProof/>
          <w:kern w:val="0"/>
          <w:lang w:eastAsia="fr-FR"/>
          <w14:ligatures w14:val="none"/>
        </w:rPr>
      </w:pPr>
      <w:hyperlink w:anchor="_Toc211503180" w:history="1">
        <w:r w:rsidR="000503FC" w:rsidRPr="000A43F1">
          <w:rPr>
            <w:rStyle w:val="Lienhypertexte"/>
            <w:noProof/>
          </w:rPr>
          <w:t>Gestion des risques</w:t>
        </w:r>
        <w:r w:rsidR="000503FC">
          <w:rPr>
            <w:noProof/>
            <w:webHidden/>
          </w:rPr>
          <w:tab/>
        </w:r>
        <w:r w:rsidR="000503FC">
          <w:rPr>
            <w:noProof/>
            <w:webHidden/>
          </w:rPr>
          <w:fldChar w:fldCharType="begin"/>
        </w:r>
        <w:r w:rsidR="000503FC">
          <w:rPr>
            <w:noProof/>
            <w:webHidden/>
          </w:rPr>
          <w:instrText xml:space="preserve"> PAGEREF _Toc211503180 \h </w:instrText>
        </w:r>
        <w:r w:rsidR="000503FC">
          <w:rPr>
            <w:noProof/>
            <w:webHidden/>
          </w:rPr>
        </w:r>
        <w:r w:rsidR="000503FC">
          <w:rPr>
            <w:noProof/>
            <w:webHidden/>
          </w:rPr>
          <w:fldChar w:fldCharType="separate"/>
        </w:r>
        <w:r w:rsidR="000503FC">
          <w:rPr>
            <w:noProof/>
            <w:webHidden/>
          </w:rPr>
          <w:t>14</w:t>
        </w:r>
        <w:r w:rsidR="000503FC">
          <w:rPr>
            <w:noProof/>
            <w:webHidden/>
          </w:rPr>
          <w:fldChar w:fldCharType="end"/>
        </w:r>
      </w:hyperlink>
    </w:p>
    <w:p w14:paraId="162835F9" w14:textId="142416E2" w:rsidR="000503FC" w:rsidRDefault="0014174E">
      <w:pPr>
        <w:pStyle w:val="TM3"/>
        <w:tabs>
          <w:tab w:val="right" w:pos="9346"/>
        </w:tabs>
        <w:rPr>
          <w:rFonts w:eastAsiaTheme="minorEastAsia" w:cstheme="minorBidi"/>
          <w:smallCaps w:val="0"/>
          <w:noProof/>
          <w:kern w:val="0"/>
          <w:lang w:eastAsia="fr-FR"/>
          <w14:ligatures w14:val="none"/>
        </w:rPr>
      </w:pPr>
      <w:hyperlink w:anchor="_Toc211503181" w:history="1">
        <w:r w:rsidR="000503FC" w:rsidRPr="000A43F1">
          <w:rPr>
            <w:rStyle w:val="Lienhypertexte"/>
            <w:noProof/>
          </w:rPr>
          <w:t xml:space="preserve">Gestion des risques </w:t>
        </w:r>
        <w:r w:rsidR="000503FC" w:rsidRPr="000A43F1">
          <w:rPr>
            <w:rStyle w:val="Lienhypertexte"/>
            <w:i/>
            <w:iCs/>
            <w:noProof/>
          </w:rPr>
          <w:t>a priori</w:t>
        </w:r>
        <w:r w:rsidR="000503FC">
          <w:rPr>
            <w:noProof/>
            <w:webHidden/>
          </w:rPr>
          <w:tab/>
        </w:r>
        <w:r w:rsidR="000503FC">
          <w:rPr>
            <w:noProof/>
            <w:webHidden/>
          </w:rPr>
          <w:fldChar w:fldCharType="begin"/>
        </w:r>
        <w:r w:rsidR="000503FC">
          <w:rPr>
            <w:noProof/>
            <w:webHidden/>
          </w:rPr>
          <w:instrText xml:space="preserve"> PAGEREF _Toc211503181 \h </w:instrText>
        </w:r>
        <w:r w:rsidR="000503FC">
          <w:rPr>
            <w:noProof/>
            <w:webHidden/>
          </w:rPr>
        </w:r>
        <w:r w:rsidR="000503FC">
          <w:rPr>
            <w:noProof/>
            <w:webHidden/>
          </w:rPr>
          <w:fldChar w:fldCharType="separate"/>
        </w:r>
        <w:r w:rsidR="000503FC">
          <w:rPr>
            <w:noProof/>
            <w:webHidden/>
          </w:rPr>
          <w:t>15</w:t>
        </w:r>
        <w:r w:rsidR="000503FC">
          <w:rPr>
            <w:noProof/>
            <w:webHidden/>
          </w:rPr>
          <w:fldChar w:fldCharType="end"/>
        </w:r>
      </w:hyperlink>
    </w:p>
    <w:p w14:paraId="1FAB59C4" w14:textId="7A1626FF" w:rsidR="000503FC" w:rsidRDefault="0014174E">
      <w:pPr>
        <w:pStyle w:val="TM3"/>
        <w:tabs>
          <w:tab w:val="right" w:pos="9346"/>
        </w:tabs>
        <w:rPr>
          <w:rFonts w:eastAsiaTheme="minorEastAsia" w:cstheme="minorBidi"/>
          <w:smallCaps w:val="0"/>
          <w:noProof/>
          <w:kern w:val="0"/>
          <w:lang w:eastAsia="fr-FR"/>
          <w14:ligatures w14:val="none"/>
        </w:rPr>
      </w:pPr>
      <w:hyperlink w:anchor="_Toc211503182" w:history="1">
        <w:r w:rsidR="000503FC" w:rsidRPr="000A43F1">
          <w:rPr>
            <w:rStyle w:val="Lienhypertexte"/>
            <w:noProof/>
          </w:rPr>
          <w:t xml:space="preserve">Gestion des risques </w:t>
        </w:r>
        <w:r w:rsidR="000503FC" w:rsidRPr="000A43F1">
          <w:rPr>
            <w:rStyle w:val="Lienhypertexte"/>
            <w:i/>
            <w:iCs/>
            <w:noProof/>
          </w:rPr>
          <w:t>a posteriori</w:t>
        </w:r>
        <w:r w:rsidR="000503FC">
          <w:rPr>
            <w:noProof/>
            <w:webHidden/>
          </w:rPr>
          <w:tab/>
        </w:r>
        <w:r w:rsidR="000503FC">
          <w:rPr>
            <w:noProof/>
            <w:webHidden/>
          </w:rPr>
          <w:fldChar w:fldCharType="begin"/>
        </w:r>
        <w:r w:rsidR="000503FC">
          <w:rPr>
            <w:noProof/>
            <w:webHidden/>
          </w:rPr>
          <w:instrText xml:space="preserve"> PAGEREF _Toc211503182 \h </w:instrText>
        </w:r>
        <w:r w:rsidR="000503FC">
          <w:rPr>
            <w:noProof/>
            <w:webHidden/>
          </w:rPr>
        </w:r>
        <w:r w:rsidR="000503FC">
          <w:rPr>
            <w:noProof/>
            <w:webHidden/>
          </w:rPr>
          <w:fldChar w:fldCharType="separate"/>
        </w:r>
        <w:r w:rsidR="000503FC">
          <w:rPr>
            <w:noProof/>
            <w:webHidden/>
          </w:rPr>
          <w:t>15</w:t>
        </w:r>
        <w:r w:rsidR="000503FC">
          <w:rPr>
            <w:noProof/>
            <w:webHidden/>
          </w:rPr>
          <w:fldChar w:fldCharType="end"/>
        </w:r>
      </w:hyperlink>
    </w:p>
    <w:p w14:paraId="0B9F728C" w14:textId="22869F78" w:rsidR="000503FC" w:rsidRDefault="0014174E">
      <w:pPr>
        <w:pStyle w:val="TM4"/>
        <w:tabs>
          <w:tab w:val="right" w:pos="9346"/>
        </w:tabs>
        <w:rPr>
          <w:rFonts w:eastAsiaTheme="minorEastAsia" w:cstheme="minorBidi"/>
          <w:noProof/>
          <w:kern w:val="0"/>
          <w:lang w:eastAsia="fr-FR"/>
          <w14:ligatures w14:val="none"/>
        </w:rPr>
      </w:pPr>
      <w:hyperlink w:anchor="_Toc211503183" w:history="1">
        <w:r w:rsidR="000503FC" w:rsidRPr="000A43F1">
          <w:rPr>
            <w:rStyle w:val="Lienhypertexte"/>
            <w:noProof/>
          </w:rPr>
          <w:t>Gestion des non-conformités relatif au DPI</w:t>
        </w:r>
        <w:r w:rsidR="000503FC">
          <w:rPr>
            <w:noProof/>
            <w:webHidden/>
          </w:rPr>
          <w:tab/>
        </w:r>
        <w:r w:rsidR="000503FC">
          <w:rPr>
            <w:noProof/>
            <w:webHidden/>
          </w:rPr>
          <w:fldChar w:fldCharType="begin"/>
        </w:r>
        <w:r w:rsidR="000503FC">
          <w:rPr>
            <w:noProof/>
            <w:webHidden/>
          </w:rPr>
          <w:instrText xml:space="preserve"> PAGEREF _Toc211503183 \h </w:instrText>
        </w:r>
        <w:r w:rsidR="000503FC">
          <w:rPr>
            <w:noProof/>
            <w:webHidden/>
          </w:rPr>
        </w:r>
        <w:r w:rsidR="000503FC">
          <w:rPr>
            <w:noProof/>
            <w:webHidden/>
          </w:rPr>
          <w:fldChar w:fldCharType="separate"/>
        </w:r>
        <w:r w:rsidR="000503FC">
          <w:rPr>
            <w:noProof/>
            <w:webHidden/>
          </w:rPr>
          <w:t>15</w:t>
        </w:r>
        <w:r w:rsidR="000503FC">
          <w:rPr>
            <w:noProof/>
            <w:webHidden/>
          </w:rPr>
          <w:fldChar w:fldCharType="end"/>
        </w:r>
      </w:hyperlink>
    </w:p>
    <w:p w14:paraId="7EFA1D21" w14:textId="285B81C3" w:rsidR="000503FC" w:rsidRDefault="0014174E">
      <w:pPr>
        <w:pStyle w:val="TM4"/>
        <w:tabs>
          <w:tab w:val="right" w:pos="9346"/>
        </w:tabs>
        <w:rPr>
          <w:rFonts w:eastAsiaTheme="minorEastAsia" w:cstheme="minorBidi"/>
          <w:noProof/>
          <w:kern w:val="0"/>
          <w:lang w:eastAsia="fr-FR"/>
          <w14:ligatures w14:val="none"/>
        </w:rPr>
      </w:pPr>
      <w:hyperlink w:anchor="_Toc211503184" w:history="1">
        <w:r w:rsidR="000503FC" w:rsidRPr="000A43F1">
          <w:rPr>
            <w:rStyle w:val="Lienhypertexte"/>
            <w:noProof/>
          </w:rPr>
          <w:t>Dispositif de vigilances relatif au DPI</w:t>
        </w:r>
        <w:r w:rsidR="000503FC">
          <w:rPr>
            <w:noProof/>
            <w:webHidden/>
          </w:rPr>
          <w:tab/>
        </w:r>
        <w:r w:rsidR="000503FC">
          <w:rPr>
            <w:noProof/>
            <w:webHidden/>
          </w:rPr>
          <w:fldChar w:fldCharType="begin"/>
        </w:r>
        <w:r w:rsidR="000503FC">
          <w:rPr>
            <w:noProof/>
            <w:webHidden/>
          </w:rPr>
          <w:instrText xml:space="preserve"> PAGEREF _Toc211503184 \h </w:instrText>
        </w:r>
        <w:r w:rsidR="000503FC">
          <w:rPr>
            <w:noProof/>
            <w:webHidden/>
          </w:rPr>
        </w:r>
        <w:r w:rsidR="000503FC">
          <w:rPr>
            <w:noProof/>
            <w:webHidden/>
          </w:rPr>
          <w:fldChar w:fldCharType="separate"/>
        </w:r>
        <w:r w:rsidR="000503FC">
          <w:rPr>
            <w:noProof/>
            <w:webHidden/>
          </w:rPr>
          <w:t>15</w:t>
        </w:r>
        <w:r w:rsidR="000503FC">
          <w:rPr>
            <w:noProof/>
            <w:webHidden/>
          </w:rPr>
          <w:fldChar w:fldCharType="end"/>
        </w:r>
      </w:hyperlink>
    </w:p>
    <w:p w14:paraId="5C3C64A3" w14:textId="6CFFF8C6"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85" w:history="1">
        <w:r w:rsidR="000503FC" w:rsidRPr="000A43F1">
          <w:rPr>
            <w:rStyle w:val="Lienhypertexte"/>
            <w:noProof/>
          </w:rPr>
          <w:t>ARTICLE 7 : ORGANISATION DES DIFFERENTES ETAPES DU DPI ET PARCOURS PATIENT</w:t>
        </w:r>
        <w:r w:rsidR="000503FC">
          <w:rPr>
            <w:noProof/>
            <w:webHidden/>
          </w:rPr>
          <w:tab/>
        </w:r>
        <w:r w:rsidR="000503FC">
          <w:rPr>
            <w:noProof/>
            <w:webHidden/>
          </w:rPr>
          <w:fldChar w:fldCharType="begin"/>
        </w:r>
        <w:r w:rsidR="000503FC">
          <w:rPr>
            <w:noProof/>
            <w:webHidden/>
          </w:rPr>
          <w:instrText xml:space="preserve"> PAGEREF _Toc211503185 \h </w:instrText>
        </w:r>
        <w:r w:rsidR="000503FC">
          <w:rPr>
            <w:noProof/>
            <w:webHidden/>
          </w:rPr>
        </w:r>
        <w:r w:rsidR="000503FC">
          <w:rPr>
            <w:noProof/>
            <w:webHidden/>
          </w:rPr>
          <w:fldChar w:fldCharType="separate"/>
        </w:r>
        <w:r w:rsidR="000503FC">
          <w:rPr>
            <w:noProof/>
            <w:webHidden/>
          </w:rPr>
          <w:t>16</w:t>
        </w:r>
        <w:r w:rsidR="000503FC">
          <w:rPr>
            <w:noProof/>
            <w:webHidden/>
          </w:rPr>
          <w:fldChar w:fldCharType="end"/>
        </w:r>
      </w:hyperlink>
    </w:p>
    <w:p w14:paraId="13ED9F8D" w14:textId="5BF4E211" w:rsidR="000503FC" w:rsidRDefault="0014174E">
      <w:pPr>
        <w:pStyle w:val="TM1"/>
        <w:tabs>
          <w:tab w:val="right" w:pos="9346"/>
        </w:tabs>
        <w:rPr>
          <w:rFonts w:eastAsiaTheme="minorEastAsia" w:cstheme="minorBidi"/>
          <w:b w:val="0"/>
          <w:bCs w:val="0"/>
          <w:caps w:val="0"/>
          <w:noProof/>
          <w:kern w:val="0"/>
          <w:u w:val="none"/>
          <w:lang w:eastAsia="fr-FR"/>
          <w14:ligatures w14:val="none"/>
        </w:rPr>
      </w:pPr>
      <w:hyperlink w:anchor="_Toc211503186" w:history="1">
        <w:r w:rsidR="000503FC" w:rsidRPr="000A43F1">
          <w:rPr>
            <w:rStyle w:val="Lienhypertexte"/>
            <w:noProof/>
          </w:rPr>
          <w:t>ANNEXES</w:t>
        </w:r>
        <w:r w:rsidR="000503FC">
          <w:rPr>
            <w:noProof/>
            <w:webHidden/>
          </w:rPr>
          <w:tab/>
        </w:r>
        <w:r w:rsidR="000503FC">
          <w:rPr>
            <w:noProof/>
            <w:webHidden/>
          </w:rPr>
          <w:fldChar w:fldCharType="begin"/>
        </w:r>
        <w:r w:rsidR="000503FC">
          <w:rPr>
            <w:noProof/>
            <w:webHidden/>
          </w:rPr>
          <w:instrText xml:space="preserve"> PAGEREF _Toc211503186 \h </w:instrText>
        </w:r>
        <w:r w:rsidR="000503FC">
          <w:rPr>
            <w:noProof/>
            <w:webHidden/>
          </w:rPr>
        </w:r>
        <w:r w:rsidR="000503FC">
          <w:rPr>
            <w:noProof/>
            <w:webHidden/>
          </w:rPr>
          <w:fldChar w:fldCharType="separate"/>
        </w:r>
        <w:r w:rsidR="000503FC">
          <w:rPr>
            <w:noProof/>
            <w:webHidden/>
          </w:rPr>
          <w:t>18</w:t>
        </w:r>
        <w:r w:rsidR="000503FC">
          <w:rPr>
            <w:noProof/>
            <w:webHidden/>
          </w:rPr>
          <w:fldChar w:fldCharType="end"/>
        </w:r>
      </w:hyperlink>
    </w:p>
    <w:p w14:paraId="23478BE2" w14:textId="1E0EB200" w:rsidR="00415798" w:rsidRPr="00F5008E" w:rsidRDefault="000503FC" w:rsidP="00F5008E">
      <w:r>
        <w:rPr>
          <w:rFonts w:asciiTheme="minorHAnsi" w:hAnsiTheme="minorHAnsi" w:cstheme="minorHAnsi"/>
          <w:b/>
          <w:bCs/>
          <w:i/>
          <w:iCs/>
          <w:sz w:val="22"/>
          <w:szCs w:val="22"/>
          <w:u w:val="single"/>
          <w:lang w:eastAsia="fr-FR"/>
        </w:rPr>
        <w:fldChar w:fldCharType="end"/>
      </w:r>
    </w:p>
    <w:p w14:paraId="5B1F7161" w14:textId="2D83D4D6" w:rsidR="00415798" w:rsidRDefault="00415798">
      <w:pPr>
        <w:pStyle w:val="TM3"/>
        <w:ind w:left="446"/>
      </w:pPr>
    </w:p>
    <w:p w14:paraId="48C188B4" w14:textId="5B406303" w:rsidR="006A5301" w:rsidRPr="00A35F14" w:rsidRDefault="006A5301" w:rsidP="008F6370">
      <w:pPr>
        <w:rPr>
          <w:b/>
          <w:strike/>
        </w:rPr>
        <w:sectPr w:rsidR="006A5301" w:rsidRPr="00A35F14" w:rsidSect="00F26030">
          <w:headerReference w:type="default" r:id="rId8"/>
          <w:footerReference w:type="default" r:id="rId9"/>
          <w:pgSz w:w="11906" w:h="16838"/>
          <w:pgMar w:top="2089" w:right="1417" w:bottom="1417" w:left="1133" w:header="708" w:footer="708" w:gutter="0"/>
          <w:cols w:space="708"/>
          <w:docGrid w:linePitch="360"/>
        </w:sectPr>
      </w:pPr>
    </w:p>
    <w:p w14:paraId="5B521712" w14:textId="77777777" w:rsidR="006A5301" w:rsidRPr="00A35F14" w:rsidRDefault="006A5301" w:rsidP="006A5301">
      <w:pPr>
        <w:pStyle w:val="Titre1"/>
        <w:rPr>
          <w:strike/>
        </w:rPr>
      </w:pPr>
    </w:p>
    <w:p w14:paraId="36B5FD60" w14:textId="77777777" w:rsidR="006A5301" w:rsidRPr="00A35F14" w:rsidRDefault="006A5301" w:rsidP="006A5301">
      <w:pPr>
        <w:pStyle w:val="Titre1"/>
        <w:rPr>
          <w:strike/>
        </w:rPr>
      </w:pPr>
    </w:p>
    <w:bookmarkStart w:id="6" w:name="_Toc178266337"/>
    <w:bookmarkStart w:id="7" w:name="_Toc178284952"/>
    <w:p w14:paraId="542D70F4" w14:textId="7C63A57E" w:rsidR="00391318" w:rsidRPr="008A6159" w:rsidRDefault="008F6370" w:rsidP="00391318">
      <w:pPr>
        <w:pStyle w:val="Titre1"/>
      </w:pPr>
      <w:r w:rsidRPr="008A6159">
        <w:fldChar w:fldCharType="begin"/>
      </w:r>
      <w:r w:rsidRPr="008A6159">
        <w:instrText xml:space="preserve"> HYPERLINK  \l "_ANNEXES" </w:instrText>
      </w:r>
      <w:r w:rsidRPr="008A6159">
        <w:fldChar w:fldCharType="separate"/>
      </w:r>
      <w:bookmarkStart w:id="8" w:name="_Toc211239494"/>
      <w:bookmarkStart w:id="9" w:name="_Toc211503145"/>
      <w:r w:rsidR="006A5301" w:rsidRPr="00606409">
        <w:t>LISTES DES ANNEXES</w:t>
      </w:r>
      <w:bookmarkEnd w:id="6"/>
      <w:bookmarkEnd w:id="7"/>
      <w:bookmarkEnd w:id="8"/>
      <w:r w:rsidRPr="008A6159">
        <w:fldChar w:fldCharType="end"/>
      </w:r>
      <w:r w:rsidR="00CD2598">
        <w:rPr>
          <w:rStyle w:val="Appelnotedebasdep"/>
        </w:rPr>
        <w:footnoteReference w:id="2"/>
      </w:r>
      <w:bookmarkEnd w:id="9"/>
    </w:p>
    <w:p w14:paraId="0F57F466" w14:textId="77777777" w:rsidR="00391318" w:rsidRPr="008A6159" w:rsidRDefault="00391318" w:rsidP="003D36BB"/>
    <w:p w14:paraId="5DD09F9A" w14:textId="77777777" w:rsidR="006A5301" w:rsidRPr="00A35F14" w:rsidRDefault="006A5301" w:rsidP="006A5301">
      <w:pPr>
        <w:jc w:val="left"/>
        <w:rPr>
          <w:strike/>
        </w:rPr>
      </w:pPr>
    </w:p>
    <w:tbl>
      <w:tblPr>
        <w:tblStyle w:val="Grilledutableau"/>
        <w:tblW w:w="14885" w:type="dxa"/>
        <w:tblInd w:w="-289" w:type="dxa"/>
        <w:shd w:val="clear" w:color="auto" w:fill="DEEAF6" w:themeFill="accent5" w:themeFillTint="33"/>
        <w:tblLook w:val="04A0" w:firstRow="1" w:lastRow="0" w:firstColumn="1" w:lastColumn="0" w:noHBand="0" w:noVBand="1"/>
      </w:tblPr>
      <w:tblGrid>
        <w:gridCol w:w="2127"/>
        <w:gridCol w:w="12758"/>
      </w:tblGrid>
      <w:tr w:rsidR="006A5301" w:rsidRPr="00A35F14" w14:paraId="23AEAB78" w14:textId="77777777" w:rsidTr="004B7B7D">
        <w:tc>
          <w:tcPr>
            <w:tcW w:w="2127" w:type="dxa"/>
            <w:tcBorders>
              <w:bottom w:val="nil"/>
            </w:tcBorders>
            <w:shd w:val="clear" w:color="auto" w:fill="DEEAF6" w:themeFill="accent5" w:themeFillTint="33"/>
          </w:tcPr>
          <w:p w14:paraId="59127D2A" w14:textId="1C126769" w:rsidR="006A5301" w:rsidRPr="00A35F14" w:rsidRDefault="006A5301" w:rsidP="00372DB9">
            <w:pPr>
              <w:jc w:val="left"/>
              <w:rPr>
                <w:strike/>
              </w:rPr>
            </w:pPr>
            <w:bookmarkStart w:id="10" w:name="_Hlk179811469"/>
          </w:p>
        </w:tc>
        <w:tc>
          <w:tcPr>
            <w:tcW w:w="12758" w:type="dxa"/>
            <w:tcBorders>
              <w:bottom w:val="nil"/>
            </w:tcBorders>
            <w:shd w:val="clear" w:color="auto" w:fill="DEEAF6" w:themeFill="accent5" w:themeFillTint="33"/>
          </w:tcPr>
          <w:p w14:paraId="35589DE8" w14:textId="44D2D422" w:rsidR="006A5301" w:rsidRPr="0051121C" w:rsidRDefault="006A5301" w:rsidP="00372DB9">
            <w:pPr>
              <w:jc w:val="left"/>
              <w:rPr>
                <w:b/>
                <w:bCs/>
              </w:rPr>
            </w:pPr>
            <w:r w:rsidRPr="008A6159">
              <w:rPr>
                <w:b/>
                <w:bCs/>
              </w:rPr>
              <w:t>Arrêté</w:t>
            </w:r>
            <w:r w:rsidR="00391318" w:rsidRPr="008A6159">
              <w:rPr>
                <w:b/>
                <w:bCs/>
              </w:rPr>
              <w:t>s</w:t>
            </w:r>
            <w:r w:rsidR="005F06E9">
              <w:rPr>
                <w:b/>
                <w:bCs/>
              </w:rPr>
              <w:t xml:space="preserve"> et décrets</w:t>
            </w:r>
          </w:p>
        </w:tc>
      </w:tr>
      <w:tr w:rsidR="00866A98" w:rsidRPr="00A35F14" w14:paraId="0A66A345" w14:textId="77777777" w:rsidTr="00C51267">
        <w:tc>
          <w:tcPr>
            <w:tcW w:w="2127" w:type="dxa"/>
            <w:tcBorders>
              <w:top w:val="nil"/>
              <w:bottom w:val="nil"/>
            </w:tcBorders>
            <w:shd w:val="clear" w:color="auto" w:fill="DEEAF6" w:themeFill="accent5" w:themeFillTint="33"/>
          </w:tcPr>
          <w:p w14:paraId="66579F01" w14:textId="77F9C4B4" w:rsidR="00866A98" w:rsidRPr="00A35F14" w:rsidRDefault="00866A98" w:rsidP="00372DB9">
            <w:pPr>
              <w:jc w:val="left"/>
            </w:pPr>
            <w:r w:rsidRPr="00A35F14">
              <w:t xml:space="preserve">Annexe </w:t>
            </w:r>
            <w:r w:rsidR="00391318" w:rsidRPr="00A35F14">
              <w:t>1</w:t>
            </w:r>
            <w:r w:rsidRPr="00A35F14">
              <w:t>a</w:t>
            </w:r>
          </w:p>
        </w:tc>
        <w:tc>
          <w:tcPr>
            <w:tcW w:w="12758" w:type="dxa"/>
            <w:tcBorders>
              <w:top w:val="nil"/>
              <w:bottom w:val="nil"/>
            </w:tcBorders>
            <w:shd w:val="clear" w:color="auto" w:fill="DEEAF6" w:themeFill="accent5" w:themeFillTint="33"/>
          </w:tcPr>
          <w:p w14:paraId="6B3BF859" w14:textId="43FC177D" w:rsidR="005F06E9" w:rsidRDefault="00B83FBB" w:rsidP="00744280">
            <w:pPr>
              <w:rPr>
                <w:color w:val="000000" w:themeColor="text1"/>
              </w:rPr>
            </w:pPr>
            <w:r w:rsidRPr="00A35F14">
              <w:rPr>
                <w:color w:val="000000" w:themeColor="text1"/>
              </w:rPr>
              <w:t>Arrêté du 10 mars 2025 modifiant l’arrêté du 1er juin 2015 déterminant les recommandations de bonnes pratiques relatives aux modalités d’accès, de prise en charge des femmes enceintes et des couples, d’organisation et de fonctionnement des centres pluridisciplinaires de diagnostic prénatal en matière de diagnostic prénatal et de diagnostic préimplantatoire</w:t>
            </w:r>
          </w:p>
          <w:p w14:paraId="4A7BCCA5" w14:textId="541EE6EC" w:rsidR="00C51267" w:rsidRPr="00744280" w:rsidRDefault="00C51267" w:rsidP="00744280">
            <w:pPr>
              <w:rPr>
                <w:color w:val="000000" w:themeColor="text1"/>
              </w:rPr>
            </w:pPr>
          </w:p>
        </w:tc>
      </w:tr>
      <w:tr w:rsidR="00866A98" w:rsidRPr="00A35F14" w14:paraId="0FCCBEDB" w14:textId="77777777" w:rsidTr="00C51267">
        <w:tc>
          <w:tcPr>
            <w:tcW w:w="2127" w:type="dxa"/>
            <w:tcBorders>
              <w:top w:val="nil"/>
              <w:bottom w:val="nil"/>
            </w:tcBorders>
            <w:shd w:val="clear" w:color="auto" w:fill="DEEAF6" w:themeFill="accent5" w:themeFillTint="33"/>
          </w:tcPr>
          <w:p w14:paraId="29E2908C" w14:textId="391DF80B" w:rsidR="00866A98" w:rsidRPr="00A35F14" w:rsidRDefault="00866A98" w:rsidP="00372DB9">
            <w:pPr>
              <w:jc w:val="left"/>
            </w:pPr>
            <w:r w:rsidRPr="00A35F14">
              <w:t xml:space="preserve">Annexe </w:t>
            </w:r>
            <w:r w:rsidR="00391318" w:rsidRPr="00A35F14">
              <w:t>1</w:t>
            </w:r>
            <w:r w:rsidRPr="00A35F14">
              <w:t>b</w:t>
            </w:r>
          </w:p>
        </w:tc>
        <w:tc>
          <w:tcPr>
            <w:tcW w:w="12758" w:type="dxa"/>
            <w:tcBorders>
              <w:top w:val="nil"/>
              <w:bottom w:val="nil"/>
            </w:tcBorders>
            <w:shd w:val="clear" w:color="auto" w:fill="DEEAF6" w:themeFill="accent5" w:themeFillTint="33"/>
          </w:tcPr>
          <w:p w14:paraId="5C5992E1" w14:textId="4DC18B79" w:rsidR="005F06E9" w:rsidRDefault="00005A08" w:rsidP="00744280">
            <w:r w:rsidRPr="00A35F14">
              <w:t>Arrêté du 18 juin 2024 relatif aux recommandations de bonnes pratiques en matière de diagnostic préimplantatoire</w:t>
            </w:r>
          </w:p>
          <w:p w14:paraId="73D00E97" w14:textId="02EE79C3" w:rsidR="00C51267" w:rsidRPr="00744280" w:rsidRDefault="00C51267" w:rsidP="00744280">
            <w:pPr>
              <w:rPr>
                <w:color w:val="000000" w:themeColor="text1"/>
              </w:rPr>
            </w:pPr>
          </w:p>
        </w:tc>
      </w:tr>
      <w:tr w:rsidR="00670A86" w:rsidRPr="00A35F14" w14:paraId="1F0CECCD" w14:textId="77777777" w:rsidTr="00F5008E">
        <w:tc>
          <w:tcPr>
            <w:tcW w:w="2127" w:type="dxa"/>
            <w:tcBorders>
              <w:top w:val="nil"/>
              <w:bottom w:val="nil"/>
            </w:tcBorders>
            <w:shd w:val="clear" w:color="auto" w:fill="DEEAF6" w:themeFill="accent5" w:themeFillTint="33"/>
          </w:tcPr>
          <w:p w14:paraId="16436BD2" w14:textId="151073C1" w:rsidR="00670A86" w:rsidRPr="00A35F14" w:rsidRDefault="00670A86" w:rsidP="00372DB9">
            <w:pPr>
              <w:jc w:val="left"/>
            </w:pPr>
            <w:r w:rsidRPr="00A35F14">
              <w:t xml:space="preserve">Annexe </w:t>
            </w:r>
            <w:r w:rsidR="00391318" w:rsidRPr="00A35F14">
              <w:t>1</w:t>
            </w:r>
            <w:r w:rsidRPr="00A35F14">
              <w:t>c</w:t>
            </w:r>
          </w:p>
        </w:tc>
        <w:tc>
          <w:tcPr>
            <w:tcW w:w="12758" w:type="dxa"/>
            <w:tcBorders>
              <w:top w:val="nil"/>
              <w:bottom w:val="nil"/>
            </w:tcBorders>
            <w:shd w:val="clear" w:color="auto" w:fill="DEEAF6" w:themeFill="accent5" w:themeFillTint="33"/>
          </w:tcPr>
          <w:p w14:paraId="757D90C3" w14:textId="333581F0" w:rsidR="005F06E9" w:rsidRDefault="00005A08" w:rsidP="00005A08">
            <w:r w:rsidRPr="00A35F14">
              <w:t>Arrêté du 5 octobre 2023 modifiant l'arrêté du 11 avril 2008 relatif aux règles de bonnes pratiques cliniques et biologiques d'assistance médicale à la procréation et abrogeant l'arrêté du 30 juin 2017 modifiant l'arrêté du 11 avril 2008</w:t>
            </w:r>
          </w:p>
          <w:p w14:paraId="338C0E4A" w14:textId="50007C85" w:rsidR="0051121C" w:rsidRPr="00A35F14" w:rsidRDefault="0051121C" w:rsidP="00005A08"/>
        </w:tc>
      </w:tr>
      <w:tr w:rsidR="005F06E9" w:rsidRPr="00A35F14" w14:paraId="79281FF7" w14:textId="77777777" w:rsidTr="00C51267">
        <w:tc>
          <w:tcPr>
            <w:tcW w:w="2127" w:type="dxa"/>
            <w:tcBorders>
              <w:top w:val="nil"/>
            </w:tcBorders>
            <w:shd w:val="clear" w:color="auto" w:fill="DEEAF6" w:themeFill="accent5" w:themeFillTint="33"/>
          </w:tcPr>
          <w:p w14:paraId="3A181C94" w14:textId="6FA9E95D" w:rsidR="005F06E9" w:rsidRPr="00A35F14" w:rsidRDefault="005F06E9" w:rsidP="00372DB9">
            <w:pPr>
              <w:jc w:val="left"/>
            </w:pPr>
            <w:r w:rsidRPr="00A35F14">
              <w:t>Annexe 1</w:t>
            </w:r>
            <w:r>
              <w:t>d</w:t>
            </w:r>
          </w:p>
        </w:tc>
        <w:tc>
          <w:tcPr>
            <w:tcW w:w="12758" w:type="dxa"/>
            <w:tcBorders>
              <w:top w:val="nil"/>
            </w:tcBorders>
            <w:shd w:val="clear" w:color="auto" w:fill="DEEAF6" w:themeFill="accent5" w:themeFillTint="33"/>
          </w:tcPr>
          <w:p w14:paraId="4A0D3E9E" w14:textId="6720FFC8" w:rsidR="005F06E9" w:rsidRPr="00A35F14" w:rsidRDefault="005F06E9" w:rsidP="00005A08">
            <w:r>
              <w:t>Décret du 30 décembre 2023 relatif à l’examen des caractéristiques génétiques d’une personne</w:t>
            </w:r>
          </w:p>
        </w:tc>
      </w:tr>
      <w:tr w:rsidR="00EC0D7D" w:rsidRPr="00A35F14" w14:paraId="3D65524E" w14:textId="77777777" w:rsidTr="004B7B7D">
        <w:tc>
          <w:tcPr>
            <w:tcW w:w="2127" w:type="dxa"/>
            <w:shd w:val="clear" w:color="auto" w:fill="DEEAF6" w:themeFill="accent5" w:themeFillTint="33"/>
          </w:tcPr>
          <w:p w14:paraId="2253F708" w14:textId="3F18FA7B" w:rsidR="00EC0D7D" w:rsidRPr="00A35F14" w:rsidRDefault="008F6370" w:rsidP="00EC0D7D">
            <w:pPr>
              <w:jc w:val="left"/>
            </w:pPr>
            <w:r w:rsidRPr="00A35F14">
              <w:t>Annexe 2</w:t>
            </w:r>
          </w:p>
        </w:tc>
        <w:tc>
          <w:tcPr>
            <w:tcW w:w="12758" w:type="dxa"/>
            <w:shd w:val="clear" w:color="auto" w:fill="DEEAF6" w:themeFill="accent5" w:themeFillTint="33"/>
          </w:tcPr>
          <w:p w14:paraId="0A38BADC" w14:textId="1963A859" w:rsidR="00EC0D7D" w:rsidRPr="00744280" w:rsidRDefault="00EC0D7D" w:rsidP="00744280">
            <w:pPr>
              <w:jc w:val="left"/>
              <w:rPr>
                <w:b/>
                <w:bCs/>
              </w:rPr>
            </w:pPr>
            <w:r w:rsidRPr="00A1487C">
              <w:rPr>
                <w:b/>
                <w:bCs/>
              </w:rPr>
              <w:t xml:space="preserve">Liste à jour des membres du </w:t>
            </w:r>
            <w:r w:rsidR="00005A08" w:rsidRPr="00A1487C">
              <w:rPr>
                <w:b/>
                <w:bCs/>
              </w:rPr>
              <w:t>CDPI</w:t>
            </w:r>
            <w:r w:rsidRPr="00A1487C">
              <w:rPr>
                <w:b/>
                <w:bCs/>
              </w:rPr>
              <w:t>*</w:t>
            </w:r>
            <w:r w:rsidR="00CA235D" w:rsidRPr="00A1487C">
              <w:rPr>
                <w:b/>
                <w:bCs/>
              </w:rPr>
              <w:t xml:space="preserve"> </w:t>
            </w:r>
          </w:p>
        </w:tc>
      </w:tr>
      <w:tr w:rsidR="00744280" w:rsidRPr="00A35F14" w14:paraId="4530BB24" w14:textId="77777777" w:rsidTr="004B7B7D">
        <w:trPr>
          <w:trHeight w:val="336"/>
        </w:trPr>
        <w:tc>
          <w:tcPr>
            <w:tcW w:w="2127" w:type="dxa"/>
            <w:tcBorders>
              <w:bottom w:val="nil"/>
            </w:tcBorders>
            <w:shd w:val="clear" w:color="auto" w:fill="DEEAF6" w:themeFill="accent5" w:themeFillTint="33"/>
          </w:tcPr>
          <w:p w14:paraId="293BCCBC" w14:textId="7657ECEB" w:rsidR="00744280" w:rsidRPr="00744280" w:rsidRDefault="00744280" w:rsidP="00744280">
            <w:pPr>
              <w:jc w:val="left"/>
            </w:pPr>
            <w:r w:rsidRPr="00744280">
              <w:t>Annexe 3</w:t>
            </w:r>
          </w:p>
        </w:tc>
        <w:tc>
          <w:tcPr>
            <w:tcW w:w="12758" w:type="dxa"/>
            <w:tcBorders>
              <w:bottom w:val="nil"/>
            </w:tcBorders>
            <w:shd w:val="clear" w:color="auto" w:fill="DEEAF6" w:themeFill="accent5" w:themeFillTint="33"/>
          </w:tcPr>
          <w:p w14:paraId="762A05E3" w14:textId="4D0FBAC0" w:rsidR="00744280" w:rsidRDefault="00744280" w:rsidP="00744280">
            <w:pPr>
              <w:jc w:val="left"/>
              <w:rPr>
                <w:b/>
                <w:bCs/>
              </w:rPr>
            </w:pPr>
            <w:r w:rsidRPr="00744280">
              <w:rPr>
                <w:b/>
                <w:bCs/>
              </w:rPr>
              <w:t>Modèle type d’attestation d’engagement d’un membre du CDPI</w:t>
            </w:r>
            <w:r>
              <w:rPr>
                <w:b/>
                <w:bCs/>
              </w:rPr>
              <w:t>*</w:t>
            </w:r>
          </w:p>
        </w:tc>
      </w:tr>
      <w:tr w:rsidR="00744280" w:rsidRPr="00A35F14" w14:paraId="66E61046" w14:textId="77777777" w:rsidTr="00744280">
        <w:trPr>
          <w:trHeight w:val="250"/>
        </w:trPr>
        <w:tc>
          <w:tcPr>
            <w:tcW w:w="2127" w:type="dxa"/>
            <w:tcBorders>
              <w:bottom w:val="nil"/>
            </w:tcBorders>
            <w:shd w:val="clear" w:color="auto" w:fill="DEEAF6" w:themeFill="accent5" w:themeFillTint="33"/>
          </w:tcPr>
          <w:p w14:paraId="4ED284EB" w14:textId="1BFE3B5C" w:rsidR="00744280" w:rsidRPr="00744280" w:rsidRDefault="00744280" w:rsidP="00744280">
            <w:pPr>
              <w:jc w:val="left"/>
            </w:pPr>
            <w:r w:rsidRPr="00744280">
              <w:t>Annexe 4</w:t>
            </w:r>
          </w:p>
        </w:tc>
        <w:tc>
          <w:tcPr>
            <w:tcW w:w="12758" w:type="dxa"/>
            <w:tcBorders>
              <w:bottom w:val="nil"/>
            </w:tcBorders>
            <w:shd w:val="clear" w:color="auto" w:fill="DEEAF6" w:themeFill="accent5" w:themeFillTint="33"/>
          </w:tcPr>
          <w:p w14:paraId="7D41F878" w14:textId="442E324B" w:rsidR="00744280" w:rsidRPr="008A6159" w:rsidRDefault="00744280" w:rsidP="00744280">
            <w:pPr>
              <w:jc w:val="left"/>
              <w:rPr>
                <w:b/>
                <w:bCs/>
              </w:rPr>
            </w:pPr>
            <w:r>
              <w:rPr>
                <w:b/>
                <w:bCs/>
              </w:rPr>
              <w:t>Organigramme du CDPI</w:t>
            </w:r>
          </w:p>
        </w:tc>
      </w:tr>
      <w:tr w:rsidR="004B7B7D" w:rsidRPr="00A35F14" w14:paraId="4E8BD558" w14:textId="77777777" w:rsidTr="004B7B7D">
        <w:trPr>
          <w:trHeight w:val="336"/>
        </w:trPr>
        <w:tc>
          <w:tcPr>
            <w:tcW w:w="2127" w:type="dxa"/>
            <w:tcBorders>
              <w:bottom w:val="nil"/>
            </w:tcBorders>
            <w:shd w:val="clear" w:color="auto" w:fill="DEEAF6" w:themeFill="accent5" w:themeFillTint="33"/>
          </w:tcPr>
          <w:p w14:paraId="051FD9E1" w14:textId="16419E71" w:rsidR="004B7B7D" w:rsidRPr="00744280" w:rsidRDefault="00744280" w:rsidP="004B7B7D">
            <w:pPr>
              <w:jc w:val="left"/>
            </w:pPr>
            <w:r w:rsidRPr="00744280">
              <w:t>Annexe 5</w:t>
            </w:r>
          </w:p>
        </w:tc>
        <w:tc>
          <w:tcPr>
            <w:tcW w:w="12758" w:type="dxa"/>
            <w:tcBorders>
              <w:bottom w:val="nil"/>
            </w:tcBorders>
            <w:shd w:val="clear" w:color="auto" w:fill="DEEAF6" w:themeFill="accent5" w:themeFillTint="33"/>
          </w:tcPr>
          <w:p w14:paraId="31F63CEB" w14:textId="25310A23" w:rsidR="004B7B7D" w:rsidRPr="00F5008E" w:rsidRDefault="007B5C86" w:rsidP="004B7B7D">
            <w:pPr>
              <w:rPr>
                <w:b/>
                <w:bCs/>
                <w:color w:val="002060"/>
              </w:rPr>
            </w:pPr>
            <w:r>
              <w:rPr>
                <w:b/>
                <w:bCs/>
              </w:rPr>
              <w:t>Liste des c</w:t>
            </w:r>
            <w:r w:rsidR="004B7B7D" w:rsidRPr="00744280">
              <w:rPr>
                <w:b/>
                <w:bCs/>
              </w:rPr>
              <w:t>onvention</w:t>
            </w:r>
            <w:r>
              <w:rPr>
                <w:b/>
                <w:bCs/>
              </w:rPr>
              <w:t>s</w:t>
            </w:r>
            <w:r w:rsidR="001832B8" w:rsidRPr="00F5008E">
              <w:rPr>
                <w:b/>
                <w:bCs/>
              </w:rPr>
              <w:t xml:space="preserve"> entre CDPI et structures associées</w:t>
            </w:r>
          </w:p>
        </w:tc>
      </w:tr>
      <w:tr w:rsidR="006A5301" w:rsidRPr="00A35F14" w14:paraId="5414DF23" w14:textId="77777777" w:rsidTr="00C51267">
        <w:trPr>
          <w:trHeight w:val="336"/>
        </w:trPr>
        <w:tc>
          <w:tcPr>
            <w:tcW w:w="2127" w:type="dxa"/>
            <w:tcBorders>
              <w:bottom w:val="nil"/>
            </w:tcBorders>
            <w:shd w:val="clear" w:color="auto" w:fill="DEEAF6" w:themeFill="accent5" w:themeFillTint="33"/>
          </w:tcPr>
          <w:p w14:paraId="4853D0BA" w14:textId="77777777" w:rsidR="006A5301" w:rsidRPr="00A35F14" w:rsidRDefault="006A5301" w:rsidP="00372DB9">
            <w:pPr>
              <w:jc w:val="left"/>
              <w:rPr>
                <w:strike/>
              </w:rPr>
            </w:pPr>
          </w:p>
        </w:tc>
        <w:tc>
          <w:tcPr>
            <w:tcW w:w="12758" w:type="dxa"/>
            <w:tcBorders>
              <w:bottom w:val="nil"/>
            </w:tcBorders>
            <w:shd w:val="clear" w:color="auto" w:fill="DEEAF6" w:themeFill="accent5" w:themeFillTint="33"/>
          </w:tcPr>
          <w:p w14:paraId="61D56F1F" w14:textId="0337EC0D" w:rsidR="006A5301" w:rsidRPr="00744280" w:rsidRDefault="006A5301" w:rsidP="00372DB9">
            <w:pPr>
              <w:jc w:val="left"/>
              <w:rPr>
                <w:b/>
                <w:bCs/>
              </w:rPr>
            </w:pPr>
            <w:r w:rsidRPr="008A6159">
              <w:rPr>
                <w:b/>
                <w:bCs/>
              </w:rPr>
              <w:t>Formulaires d’information/consentement d</w:t>
            </w:r>
            <w:r w:rsidR="00815DDF">
              <w:rPr>
                <w:b/>
                <w:bCs/>
              </w:rPr>
              <w:t>u couple</w:t>
            </w:r>
          </w:p>
        </w:tc>
      </w:tr>
      <w:tr w:rsidR="00AC1600" w:rsidRPr="00A35F14" w14:paraId="39F58A2A" w14:textId="77777777" w:rsidTr="00C51267">
        <w:tc>
          <w:tcPr>
            <w:tcW w:w="2127" w:type="dxa"/>
            <w:tcBorders>
              <w:top w:val="nil"/>
              <w:bottom w:val="nil"/>
            </w:tcBorders>
            <w:shd w:val="clear" w:color="auto" w:fill="DEEAF6" w:themeFill="accent5" w:themeFillTint="33"/>
          </w:tcPr>
          <w:p w14:paraId="4137CBF6" w14:textId="24E6E2A9" w:rsidR="00AC1600" w:rsidRPr="008A6159" w:rsidRDefault="00C7692E" w:rsidP="00372DB9">
            <w:pPr>
              <w:jc w:val="left"/>
            </w:pPr>
            <w:r w:rsidRPr="008A6159">
              <w:t>Annexe</w:t>
            </w:r>
            <w:r w:rsidR="00BD7F4E">
              <w:t xml:space="preserve"> </w:t>
            </w:r>
            <w:r w:rsidR="00744280">
              <w:t>6</w:t>
            </w:r>
            <w:r w:rsidR="00606409">
              <w:t>a</w:t>
            </w:r>
          </w:p>
        </w:tc>
        <w:tc>
          <w:tcPr>
            <w:tcW w:w="12758" w:type="dxa"/>
            <w:tcBorders>
              <w:top w:val="nil"/>
              <w:bottom w:val="nil"/>
            </w:tcBorders>
            <w:shd w:val="clear" w:color="auto" w:fill="DEEAF6" w:themeFill="accent5" w:themeFillTint="33"/>
          </w:tcPr>
          <w:p w14:paraId="14988366" w14:textId="661B174B" w:rsidR="00C51267" w:rsidRDefault="00CD2598" w:rsidP="00CD2598">
            <w:pPr>
              <w:jc w:val="left"/>
            </w:pPr>
            <w:r w:rsidRPr="00CD2598">
              <w:t xml:space="preserve">Modèle de demande et de </w:t>
            </w:r>
            <w:r w:rsidR="00AC1600">
              <w:t>Consentement du couple à présenter le dossier au CDPI</w:t>
            </w:r>
          </w:p>
        </w:tc>
      </w:tr>
      <w:tr w:rsidR="006A5301" w:rsidRPr="00A35F14" w14:paraId="676EAE47" w14:textId="77777777" w:rsidTr="004B7B7D">
        <w:tc>
          <w:tcPr>
            <w:tcW w:w="2127" w:type="dxa"/>
            <w:tcBorders>
              <w:top w:val="nil"/>
              <w:bottom w:val="nil"/>
            </w:tcBorders>
            <w:shd w:val="clear" w:color="auto" w:fill="DEEAF6" w:themeFill="accent5" w:themeFillTint="33"/>
          </w:tcPr>
          <w:p w14:paraId="49EFE3A1" w14:textId="489237A6" w:rsidR="006A5301" w:rsidRPr="008A6159" w:rsidRDefault="006A5301" w:rsidP="00372DB9">
            <w:pPr>
              <w:jc w:val="left"/>
            </w:pPr>
            <w:r w:rsidRPr="008A6159">
              <w:t xml:space="preserve">Annexe </w:t>
            </w:r>
            <w:r w:rsidR="00744280">
              <w:t>6</w:t>
            </w:r>
            <w:r w:rsidR="00606409">
              <w:t>b</w:t>
            </w:r>
          </w:p>
          <w:p w14:paraId="3FC12A9D" w14:textId="7FF1C096" w:rsidR="006A5301" w:rsidRPr="008A6159" w:rsidRDefault="006A5301" w:rsidP="00372DB9">
            <w:pPr>
              <w:jc w:val="left"/>
            </w:pPr>
          </w:p>
        </w:tc>
        <w:tc>
          <w:tcPr>
            <w:tcW w:w="12758" w:type="dxa"/>
            <w:tcBorders>
              <w:top w:val="nil"/>
              <w:bottom w:val="nil"/>
            </w:tcBorders>
            <w:shd w:val="clear" w:color="auto" w:fill="DEEAF6" w:themeFill="accent5" w:themeFillTint="33"/>
          </w:tcPr>
          <w:p w14:paraId="60062963" w14:textId="120C112A" w:rsidR="006A5301" w:rsidRPr="008A6159" w:rsidRDefault="008A6159" w:rsidP="008A6159">
            <w:pPr>
              <w:jc w:val="left"/>
              <w:rPr>
                <w:strike/>
              </w:rPr>
            </w:pPr>
            <w:r>
              <w:t>Consentement du couple ou de la femme non mariée à la réalisation d’un diagnostic biologique à partir de cellules prélevées sur l’embryon in vitro</w:t>
            </w:r>
            <w:r w:rsidR="00AC1600">
              <w:t>**</w:t>
            </w:r>
          </w:p>
        </w:tc>
      </w:tr>
      <w:tr w:rsidR="00744280" w:rsidRPr="00A35F14" w14:paraId="5A92CF49" w14:textId="77777777" w:rsidTr="00606409">
        <w:trPr>
          <w:trHeight w:val="75"/>
        </w:trPr>
        <w:tc>
          <w:tcPr>
            <w:tcW w:w="2127" w:type="dxa"/>
            <w:shd w:val="clear" w:color="auto" w:fill="DEEAF6" w:themeFill="accent5" w:themeFillTint="33"/>
          </w:tcPr>
          <w:p w14:paraId="1A178657" w14:textId="6BF166A3" w:rsidR="00744280" w:rsidRPr="00606409" w:rsidRDefault="00744280" w:rsidP="00744280">
            <w:pPr>
              <w:jc w:val="left"/>
            </w:pPr>
            <w:r w:rsidRPr="00606409">
              <w:t>Annexe 7</w:t>
            </w:r>
          </w:p>
        </w:tc>
        <w:tc>
          <w:tcPr>
            <w:tcW w:w="12758" w:type="dxa"/>
            <w:shd w:val="clear" w:color="auto" w:fill="DEEAF6" w:themeFill="accent5" w:themeFillTint="33"/>
          </w:tcPr>
          <w:p w14:paraId="63CD6B1B" w14:textId="2D9C101A" w:rsidR="00744280" w:rsidRPr="00CA3D34" w:rsidRDefault="00744280" w:rsidP="00744280">
            <w:pPr>
              <w:jc w:val="left"/>
              <w:rPr>
                <w:b/>
                <w:bCs/>
              </w:rPr>
            </w:pPr>
            <w:bookmarkStart w:id="11" w:name="_Hlk179809225"/>
            <w:bookmarkStart w:id="12" w:name="_Hlk180499177"/>
            <w:r w:rsidRPr="00CA3D34">
              <w:rPr>
                <w:b/>
                <w:bCs/>
              </w:rPr>
              <w:t>Modèle d’attestation en vue d’un diagnostic préimplantatoire (DPI)**</w:t>
            </w:r>
            <w:bookmarkEnd w:id="11"/>
            <w:bookmarkEnd w:id="12"/>
          </w:p>
        </w:tc>
      </w:tr>
      <w:tr w:rsidR="00744280" w:rsidRPr="00A35F14" w14:paraId="75135CF3" w14:textId="77777777" w:rsidTr="004B7B7D">
        <w:tc>
          <w:tcPr>
            <w:tcW w:w="2127" w:type="dxa"/>
            <w:shd w:val="clear" w:color="auto" w:fill="DEEAF6" w:themeFill="accent5" w:themeFillTint="33"/>
          </w:tcPr>
          <w:p w14:paraId="0012AE42" w14:textId="15C68B8F" w:rsidR="00744280" w:rsidRPr="00606409" w:rsidRDefault="00744280" w:rsidP="00744280">
            <w:pPr>
              <w:jc w:val="left"/>
            </w:pPr>
            <w:bookmarkStart w:id="13" w:name="_Hlk179877969"/>
            <w:r w:rsidRPr="00606409">
              <w:t>Annexe 8</w:t>
            </w:r>
          </w:p>
        </w:tc>
        <w:tc>
          <w:tcPr>
            <w:tcW w:w="12758" w:type="dxa"/>
            <w:shd w:val="clear" w:color="auto" w:fill="DEEAF6" w:themeFill="accent5" w:themeFillTint="33"/>
          </w:tcPr>
          <w:p w14:paraId="67B3BAD5" w14:textId="07D3BDBB" w:rsidR="00744280" w:rsidRPr="00CA3D34" w:rsidRDefault="00744280" w:rsidP="00744280">
            <w:pPr>
              <w:rPr>
                <w:b/>
                <w:bCs/>
              </w:rPr>
            </w:pPr>
            <w:r w:rsidRPr="00CA3D34">
              <w:rPr>
                <w:b/>
                <w:bCs/>
              </w:rPr>
              <w:t>Modèle type de compte rendu de la réunion pluridisciplinaire</w:t>
            </w:r>
            <w:r w:rsidR="00F916C5" w:rsidRPr="00CA3D34">
              <w:rPr>
                <w:b/>
                <w:bCs/>
              </w:rPr>
              <w:t xml:space="preserve"> du CPDI</w:t>
            </w:r>
          </w:p>
        </w:tc>
      </w:tr>
      <w:bookmarkEnd w:id="10"/>
      <w:bookmarkEnd w:id="13"/>
      <w:tr w:rsidR="00AF5627" w:rsidRPr="00A35F14" w14:paraId="1F0FF263" w14:textId="77777777" w:rsidTr="004B7B7D">
        <w:tc>
          <w:tcPr>
            <w:tcW w:w="2127" w:type="dxa"/>
            <w:shd w:val="clear" w:color="auto" w:fill="DEEAF6" w:themeFill="accent5" w:themeFillTint="33"/>
          </w:tcPr>
          <w:p w14:paraId="07AF2605" w14:textId="714105BE" w:rsidR="00AF5627" w:rsidRPr="00606409" w:rsidRDefault="00AF5627" w:rsidP="00AF5627">
            <w:pPr>
              <w:jc w:val="left"/>
            </w:pPr>
            <w:r w:rsidRPr="00606409">
              <w:t xml:space="preserve">Annexe </w:t>
            </w:r>
            <w:r>
              <w:t>9</w:t>
            </w:r>
          </w:p>
        </w:tc>
        <w:tc>
          <w:tcPr>
            <w:tcW w:w="12758" w:type="dxa"/>
            <w:shd w:val="clear" w:color="auto" w:fill="DEEAF6" w:themeFill="accent5" w:themeFillTint="33"/>
          </w:tcPr>
          <w:p w14:paraId="65523D8B" w14:textId="79EFEF9B" w:rsidR="00AF5627" w:rsidRPr="00F5008E" w:rsidRDefault="00CD2598" w:rsidP="00CD2598">
            <w:pPr>
              <w:rPr>
                <w:b/>
                <w:bCs/>
              </w:rPr>
            </w:pPr>
            <w:r w:rsidRPr="00CD2598">
              <w:rPr>
                <w:b/>
                <w:bCs/>
              </w:rPr>
              <w:t xml:space="preserve">Organisation de la pratique des différentes étapes du DPI </w:t>
            </w:r>
            <w:r w:rsidR="0044366E">
              <w:rPr>
                <w:b/>
                <w:bCs/>
              </w:rPr>
              <w:t xml:space="preserve">et </w:t>
            </w:r>
            <w:r w:rsidR="00AF5627" w:rsidRPr="00AF5627">
              <w:rPr>
                <w:b/>
                <w:bCs/>
              </w:rPr>
              <w:t>parcours patient</w:t>
            </w:r>
            <w:r w:rsidR="007B5C86">
              <w:rPr>
                <w:b/>
                <w:bCs/>
              </w:rPr>
              <w:t>*</w:t>
            </w:r>
          </w:p>
        </w:tc>
      </w:tr>
      <w:tr w:rsidR="00AF5627" w:rsidRPr="00A35F14" w14:paraId="3C4CA668" w14:textId="77777777" w:rsidTr="004B7B7D">
        <w:tc>
          <w:tcPr>
            <w:tcW w:w="2127" w:type="dxa"/>
            <w:shd w:val="clear" w:color="auto" w:fill="DEEAF6" w:themeFill="accent5" w:themeFillTint="33"/>
          </w:tcPr>
          <w:p w14:paraId="1A4842BA" w14:textId="77179624" w:rsidR="00AF5627" w:rsidRPr="00606409" w:rsidRDefault="00AF5627" w:rsidP="00AF5627">
            <w:pPr>
              <w:jc w:val="left"/>
            </w:pPr>
            <w:r w:rsidRPr="00606409">
              <w:t xml:space="preserve">Annexe </w:t>
            </w:r>
            <w:r>
              <w:t>10</w:t>
            </w:r>
          </w:p>
        </w:tc>
        <w:tc>
          <w:tcPr>
            <w:tcW w:w="12758" w:type="dxa"/>
            <w:shd w:val="clear" w:color="auto" w:fill="DEEAF6" w:themeFill="accent5" w:themeFillTint="33"/>
          </w:tcPr>
          <w:p w14:paraId="6134A938" w14:textId="0C2C220A" w:rsidR="00AF5627" w:rsidRPr="00880C90" w:rsidDel="005F2E9E" w:rsidRDefault="00AF5627" w:rsidP="00F5008E">
            <w:pPr>
              <w:jc w:val="left"/>
              <w:rPr>
                <w:b/>
                <w:bCs/>
              </w:rPr>
            </w:pPr>
            <w:r w:rsidRPr="0065748C">
              <w:rPr>
                <w:b/>
                <w:bCs/>
              </w:rPr>
              <w:t>Liste des procédures du CDPI</w:t>
            </w:r>
          </w:p>
        </w:tc>
      </w:tr>
    </w:tbl>
    <w:p w14:paraId="0B90E7E4" w14:textId="77777777" w:rsidR="00866A98" w:rsidRPr="00A35F14" w:rsidRDefault="00866A98" w:rsidP="00866A98">
      <w:pPr>
        <w:rPr>
          <w:strike/>
        </w:rPr>
        <w:sectPr w:rsidR="00866A98" w:rsidRPr="00A35F14" w:rsidSect="00866A98">
          <w:pgSz w:w="16838" w:h="11906" w:orient="landscape"/>
          <w:pgMar w:top="567" w:right="2087" w:bottom="1418" w:left="1418" w:header="708" w:footer="708" w:gutter="0"/>
          <w:cols w:space="708"/>
          <w:docGrid w:linePitch="360"/>
        </w:sectPr>
      </w:pPr>
      <w:bookmarkStart w:id="14" w:name="_Toc59447102"/>
      <w:bookmarkStart w:id="15" w:name="_Toc174356151"/>
      <w:bookmarkStart w:id="16" w:name="_Toc174356580"/>
      <w:bookmarkStart w:id="17" w:name="_Toc174978455"/>
      <w:bookmarkStart w:id="18" w:name="_Toc175321116"/>
      <w:bookmarkStart w:id="19" w:name="_Toc175337932"/>
      <w:bookmarkStart w:id="20" w:name="_Toc175338055"/>
      <w:bookmarkStart w:id="21" w:name="_Toc175338109"/>
      <w:bookmarkStart w:id="22" w:name="_Toc175338163"/>
      <w:bookmarkStart w:id="23" w:name="_Toc176182486"/>
    </w:p>
    <w:p w14:paraId="63708A9A" w14:textId="77777777" w:rsidR="003941F3" w:rsidRDefault="003941F3" w:rsidP="003941F3">
      <w:pPr>
        <w:pStyle w:val="Titre1"/>
      </w:pPr>
      <w:bookmarkStart w:id="24" w:name="_Toc211239495"/>
      <w:bookmarkStart w:id="25" w:name="_Toc211503146"/>
      <w:bookmarkStart w:id="26" w:name="_Toc178266338"/>
      <w:bookmarkStart w:id="27" w:name="_Toc178284953"/>
      <w:r w:rsidRPr="00CE7751">
        <w:lastRenderedPageBreak/>
        <w:t>ARTICLE 1 : CONSTITUTION ET AUTORISATION</w:t>
      </w:r>
      <w:bookmarkEnd w:id="24"/>
      <w:bookmarkEnd w:id="25"/>
    </w:p>
    <w:p w14:paraId="02705048" w14:textId="77777777" w:rsidR="003941F3" w:rsidRDefault="003941F3" w:rsidP="003941F3">
      <w:pPr>
        <w:rPr>
          <w:lang w:eastAsia="fr-FR"/>
        </w:rPr>
      </w:pPr>
    </w:p>
    <w:p w14:paraId="0D3A3FC1" w14:textId="67D83DFD" w:rsidR="008B46E7" w:rsidRDefault="008B421E" w:rsidP="003D64B2">
      <w:pPr>
        <w:pStyle w:val="NormalWeb"/>
        <w:shd w:val="clear" w:color="auto" w:fill="FFFFFF"/>
        <w:spacing w:before="0" w:beforeAutospacing="0" w:after="240" w:afterAutospacing="0"/>
        <w:jc w:val="both"/>
        <w:rPr>
          <w:rFonts w:ascii="Arial" w:hAnsi="Arial" w:cs="Arial"/>
          <w:color w:val="000000"/>
          <w:sz w:val="20"/>
          <w:szCs w:val="20"/>
        </w:rPr>
      </w:pPr>
      <w:r w:rsidRPr="003D64B2">
        <w:rPr>
          <w:rFonts w:ascii="Arial" w:hAnsi="Arial" w:cs="Arial"/>
          <w:color w:val="000000"/>
          <w:sz w:val="20"/>
          <w:szCs w:val="20"/>
        </w:rPr>
        <w:t xml:space="preserve">Le DPI est encadré par les </w:t>
      </w:r>
      <w:r w:rsidR="003E39C7" w:rsidRPr="003D64B2">
        <w:rPr>
          <w:rFonts w:ascii="Arial" w:hAnsi="Arial" w:cs="Arial"/>
          <w:color w:val="000000"/>
          <w:sz w:val="20"/>
          <w:szCs w:val="20"/>
        </w:rPr>
        <w:t xml:space="preserve">articles L2131-1 à -5 et R2131-22-1 </w:t>
      </w:r>
      <w:r w:rsidR="004E20CC" w:rsidRPr="003D64B2">
        <w:rPr>
          <w:rFonts w:ascii="Arial" w:hAnsi="Arial" w:cs="Arial"/>
          <w:color w:val="000000"/>
          <w:sz w:val="20"/>
          <w:szCs w:val="20"/>
        </w:rPr>
        <w:t xml:space="preserve">du code de la santé publique (CSP) </w:t>
      </w:r>
      <w:r w:rsidR="00AD7795" w:rsidRPr="003D64B2">
        <w:rPr>
          <w:rFonts w:ascii="Arial" w:hAnsi="Arial" w:cs="Arial"/>
          <w:color w:val="000000"/>
          <w:sz w:val="20"/>
          <w:szCs w:val="20"/>
        </w:rPr>
        <w:t>et suivants</w:t>
      </w:r>
      <w:r w:rsidRPr="003D64B2">
        <w:rPr>
          <w:rFonts w:ascii="Arial" w:hAnsi="Arial" w:cs="Arial"/>
          <w:color w:val="000000"/>
          <w:sz w:val="20"/>
          <w:szCs w:val="20"/>
        </w:rPr>
        <w:t xml:space="preserve">. Les conditions d'autorisation des établissements pratiquant le diagnostic préimplantatoire sont définis </w:t>
      </w:r>
      <w:r w:rsidR="00AD7795" w:rsidRPr="003D64B2">
        <w:rPr>
          <w:rFonts w:ascii="Arial" w:hAnsi="Arial" w:cs="Arial"/>
          <w:color w:val="000000"/>
          <w:sz w:val="20"/>
          <w:szCs w:val="20"/>
        </w:rPr>
        <w:t xml:space="preserve">spécifiquement </w:t>
      </w:r>
      <w:r w:rsidRPr="003D64B2">
        <w:rPr>
          <w:rFonts w:ascii="Arial" w:hAnsi="Arial" w:cs="Arial"/>
          <w:color w:val="000000"/>
          <w:sz w:val="20"/>
          <w:szCs w:val="20"/>
        </w:rPr>
        <w:t>selon l’articles R2131-27 à R2131-34.</w:t>
      </w:r>
      <w:r w:rsidR="008B46E7">
        <w:rPr>
          <w:rFonts w:ascii="Arial" w:hAnsi="Arial" w:cs="Arial"/>
          <w:color w:val="000000"/>
          <w:sz w:val="20"/>
          <w:szCs w:val="20"/>
        </w:rPr>
        <w:t xml:space="preserve"> </w:t>
      </w:r>
    </w:p>
    <w:p w14:paraId="269F17CD" w14:textId="25CCAAB2" w:rsidR="004E20CC" w:rsidRDefault="008B421E" w:rsidP="003D64B2">
      <w:pPr>
        <w:pStyle w:val="NormalWeb"/>
        <w:shd w:val="clear" w:color="auto" w:fill="FFFFFF"/>
        <w:spacing w:before="0" w:beforeAutospacing="0" w:after="240" w:afterAutospacing="0"/>
        <w:jc w:val="both"/>
        <w:rPr>
          <w:rFonts w:ascii="Arial" w:hAnsi="Arial" w:cs="Arial"/>
          <w:color w:val="000000"/>
          <w:sz w:val="20"/>
          <w:szCs w:val="20"/>
        </w:rPr>
      </w:pPr>
      <w:r w:rsidRPr="003D64B2">
        <w:rPr>
          <w:rFonts w:ascii="Arial" w:hAnsi="Arial" w:cs="Arial"/>
          <w:color w:val="000000"/>
          <w:sz w:val="20"/>
          <w:szCs w:val="20"/>
        </w:rPr>
        <w:t>En application de l'article </w:t>
      </w:r>
      <w:hyperlink r:id="rId10" w:history="1">
        <w:r w:rsidRPr="003D64B2">
          <w:rPr>
            <w:rFonts w:ascii="Arial" w:hAnsi="Arial" w:cs="Arial"/>
            <w:color w:val="000000"/>
            <w:sz w:val="20"/>
            <w:szCs w:val="20"/>
          </w:rPr>
          <w:t>L. 2131-4 </w:t>
        </w:r>
      </w:hyperlink>
      <w:r w:rsidR="004E20CC">
        <w:rPr>
          <w:rFonts w:ascii="Arial" w:hAnsi="Arial" w:cs="Arial"/>
          <w:color w:val="000000"/>
          <w:sz w:val="20"/>
          <w:szCs w:val="20"/>
        </w:rPr>
        <w:t xml:space="preserve">CSP </w:t>
      </w:r>
      <w:r w:rsidRPr="003D64B2">
        <w:rPr>
          <w:rFonts w:ascii="Arial" w:hAnsi="Arial" w:cs="Arial"/>
          <w:color w:val="000000"/>
          <w:sz w:val="20"/>
          <w:szCs w:val="20"/>
        </w:rPr>
        <w:t>port</w:t>
      </w:r>
      <w:r w:rsidR="00AD7795" w:rsidRPr="003D64B2">
        <w:rPr>
          <w:rFonts w:ascii="Arial" w:hAnsi="Arial" w:cs="Arial"/>
          <w:color w:val="000000"/>
          <w:sz w:val="20"/>
          <w:szCs w:val="20"/>
        </w:rPr>
        <w:t>ant</w:t>
      </w:r>
      <w:r w:rsidRPr="003D64B2">
        <w:rPr>
          <w:rFonts w:ascii="Arial" w:hAnsi="Arial" w:cs="Arial"/>
          <w:color w:val="000000"/>
          <w:sz w:val="20"/>
          <w:szCs w:val="20"/>
        </w:rPr>
        <w:t xml:space="preserve"> sur l'ensemble des trois activités mentionnées à l'article </w:t>
      </w:r>
      <w:hyperlink r:id="rId11" w:history="1">
        <w:r w:rsidRPr="003D64B2">
          <w:rPr>
            <w:rFonts w:ascii="Arial" w:hAnsi="Arial" w:cs="Arial"/>
            <w:color w:val="000000"/>
            <w:sz w:val="20"/>
            <w:szCs w:val="20"/>
          </w:rPr>
          <w:t>R. 2131-22-2</w:t>
        </w:r>
      </w:hyperlink>
      <w:r w:rsidR="004E20CC">
        <w:rPr>
          <w:rFonts w:ascii="Arial" w:hAnsi="Arial" w:cs="Arial"/>
          <w:color w:val="000000"/>
          <w:sz w:val="20"/>
          <w:szCs w:val="20"/>
        </w:rPr>
        <w:t xml:space="preserve"> du CSP</w:t>
      </w:r>
      <w:r w:rsidRPr="003D64B2">
        <w:rPr>
          <w:rFonts w:ascii="Arial" w:hAnsi="Arial" w:cs="Arial"/>
          <w:color w:val="000000"/>
          <w:sz w:val="20"/>
          <w:szCs w:val="20"/>
        </w:rPr>
        <w:t>, l'autorisation de pratiquer le diagnostic préimplantatoire a été délivrée</w:t>
      </w:r>
      <w:r w:rsidR="003D64B2" w:rsidRPr="003D64B2">
        <w:rPr>
          <w:rFonts w:ascii="Arial" w:hAnsi="Arial" w:cs="Arial"/>
          <w:color w:val="000000"/>
          <w:sz w:val="20"/>
          <w:szCs w:val="20"/>
        </w:rPr>
        <w:t xml:space="preserve"> </w:t>
      </w:r>
      <w:r w:rsidR="004E20CC">
        <w:rPr>
          <w:rFonts w:ascii="Arial" w:hAnsi="Arial" w:cs="Arial"/>
          <w:color w:val="000000"/>
          <w:sz w:val="20"/>
          <w:szCs w:val="20"/>
        </w:rPr>
        <w:t xml:space="preserve">à  </w:t>
      </w:r>
      <w:r w:rsidR="003D64B2" w:rsidRPr="003D64B2">
        <w:rPr>
          <w:rFonts w:ascii="Arial" w:hAnsi="Arial" w:cs="Arial"/>
          <w:color w:val="000000"/>
          <w:sz w:val="20"/>
          <w:szCs w:val="20"/>
        </w:rPr>
        <w:t>…………………</w:t>
      </w:r>
      <w:r w:rsidR="008B46E7">
        <w:rPr>
          <w:rFonts w:ascii="Arial" w:hAnsi="Arial" w:cs="Arial"/>
          <w:color w:val="000000"/>
          <w:sz w:val="20"/>
          <w:szCs w:val="20"/>
        </w:rPr>
        <w:t>…………..</w:t>
      </w:r>
      <w:r w:rsidR="003D64B2" w:rsidRPr="003D64B2">
        <w:rPr>
          <w:rFonts w:ascii="Arial" w:hAnsi="Arial" w:cs="Arial"/>
          <w:color w:val="000000"/>
          <w:sz w:val="20"/>
          <w:szCs w:val="20"/>
        </w:rPr>
        <w:t>Conformément à l’article R 2131-27 et 28 l’autorisation pour le CPDPI a été obtenue le……………………….. par décision du directeur général de l’Agence de la biomédecine</w:t>
      </w:r>
      <w:r w:rsidR="00164992">
        <w:rPr>
          <w:rFonts w:ascii="Arial" w:hAnsi="Arial" w:cs="Arial"/>
          <w:color w:val="000000"/>
          <w:sz w:val="20"/>
          <w:szCs w:val="20"/>
        </w:rPr>
        <w:t xml:space="preserve"> pour 5 ans.</w:t>
      </w:r>
    </w:p>
    <w:p w14:paraId="086AD6AC" w14:textId="60CCA9E8" w:rsidR="003D64B2" w:rsidRPr="008B46E7" w:rsidRDefault="003D64B2" w:rsidP="003D64B2">
      <w:pPr>
        <w:pStyle w:val="NormalWeb"/>
        <w:shd w:val="clear" w:color="auto" w:fill="FFFFFF"/>
        <w:spacing w:before="0" w:beforeAutospacing="0" w:after="240" w:afterAutospacing="0"/>
        <w:jc w:val="both"/>
        <w:rPr>
          <w:rFonts w:ascii="Arial" w:hAnsi="Arial" w:cs="Arial"/>
          <w:color w:val="000000"/>
          <w:sz w:val="20"/>
          <w:szCs w:val="20"/>
        </w:rPr>
      </w:pPr>
      <w:r w:rsidRPr="003D64B2">
        <w:rPr>
          <w:rFonts w:ascii="Arial" w:hAnsi="Arial" w:cs="Arial"/>
          <w:color w:val="000000"/>
          <w:sz w:val="20"/>
          <w:szCs w:val="20"/>
          <w:shd w:val="clear" w:color="auto" w:fill="FFFFFF"/>
        </w:rPr>
        <w:t>Lorsqu'un établissement comporte plusieurs sites, l'autorisation précise le ou les sites d'exercice de la ou des activités.</w:t>
      </w:r>
    </w:p>
    <w:tbl>
      <w:tblPr>
        <w:tblStyle w:val="Grilledutableau"/>
        <w:tblW w:w="9686" w:type="dxa"/>
        <w:tblLook w:val="04A0" w:firstRow="1" w:lastRow="0" w:firstColumn="1" w:lastColumn="0" w:noHBand="0" w:noVBand="1"/>
      </w:tblPr>
      <w:tblGrid>
        <w:gridCol w:w="4230"/>
        <w:gridCol w:w="2571"/>
        <w:gridCol w:w="2885"/>
      </w:tblGrid>
      <w:tr w:rsidR="008B46E7" w14:paraId="5A5C909C" w14:textId="77777777" w:rsidTr="00F5008E">
        <w:trPr>
          <w:trHeight w:val="407"/>
        </w:trPr>
        <w:tc>
          <w:tcPr>
            <w:tcW w:w="4230" w:type="dxa"/>
            <w:shd w:val="clear" w:color="auto" w:fill="E7E6E6" w:themeFill="background2"/>
          </w:tcPr>
          <w:p w14:paraId="4846216C" w14:textId="77777777" w:rsidR="008B46E7" w:rsidRPr="003D64B2" w:rsidRDefault="008B46E7" w:rsidP="00372DB9">
            <w:pPr>
              <w:jc w:val="left"/>
              <w:rPr>
                <w:b/>
                <w:bCs/>
                <w:lang w:eastAsia="fr-FR"/>
              </w:rPr>
            </w:pPr>
            <w:bookmarkStart w:id="28" w:name="_Hlk209701085"/>
            <w:r w:rsidRPr="003D64B2">
              <w:rPr>
                <w:b/>
                <w:bCs/>
                <w:lang w:eastAsia="fr-FR"/>
              </w:rPr>
              <w:t>Activité autorisée</w:t>
            </w:r>
            <w:r w:rsidRPr="003D64B2">
              <w:rPr>
                <w:rStyle w:val="Appelnotedebasdep"/>
                <w:b/>
                <w:bCs/>
              </w:rPr>
              <w:footnoteReference w:id="3"/>
            </w:r>
          </w:p>
        </w:tc>
        <w:tc>
          <w:tcPr>
            <w:tcW w:w="2571" w:type="dxa"/>
            <w:shd w:val="clear" w:color="auto" w:fill="E7E6E6" w:themeFill="background2"/>
          </w:tcPr>
          <w:p w14:paraId="457D112A" w14:textId="77777777" w:rsidR="008B46E7" w:rsidRPr="003D64B2" w:rsidRDefault="008B46E7" w:rsidP="00372DB9">
            <w:pPr>
              <w:jc w:val="left"/>
              <w:rPr>
                <w:b/>
                <w:bCs/>
                <w:lang w:eastAsia="fr-FR"/>
              </w:rPr>
            </w:pPr>
            <w:r w:rsidRPr="003D64B2">
              <w:rPr>
                <w:b/>
                <w:bCs/>
                <w:lang w:eastAsia="fr-FR"/>
              </w:rPr>
              <w:t>Site d’activité</w:t>
            </w:r>
          </w:p>
        </w:tc>
        <w:tc>
          <w:tcPr>
            <w:tcW w:w="2885" w:type="dxa"/>
            <w:shd w:val="clear" w:color="auto" w:fill="E7E6E6" w:themeFill="background2"/>
          </w:tcPr>
          <w:p w14:paraId="6A08456F" w14:textId="0C5F5428" w:rsidR="008B46E7" w:rsidRPr="003D64B2" w:rsidRDefault="008B46E7" w:rsidP="00372DB9">
            <w:pPr>
              <w:jc w:val="left"/>
              <w:rPr>
                <w:b/>
                <w:bCs/>
                <w:lang w:eastAsia="fr-FR"/>
              </w:rPr>
            </w:pPr>
            <w:r w:rsidRPr="003D64B2">
              <w:rPr>
                <w:b/>
                <w:bCs/>
                <w:lang w:eastAsia="fr-FR"/>
              </w:rPr>
              <w:t>Date dernière autorisation</w:t>
            </w:r>
            <w:r>
              <w:rPr>
                <w:b/>
                <w:bCs/>
                <w:lang w:eastAsia="fr-FR"/>
              </w:rPr>
              <w:t xml:space="preserve"> par ABM</w:t>
            </w:r>
          </w:p>
        </w:tc>
      </w:tr>
      <w:tr w:rsidR="008B46E7" w14:paraId="7DD626F5" w14:textId="77777777" w:rsidTr="00F5008E">
        <w:trPr>
          <w:trHeight w:val="611"/>
        </w:trPr>
        <w:tc>
          <w:tcPr>
            <w:tcW w:w="4230" w:type="dxa"/>
          </w:tcPr>
          <w:p w14:paraId="2C248FFB" w14:textId="77777777" w:rsidR="008B46E7" w:rsidRPr="00C037E9" w:rsidRDefault="008B46E7" w:rsidP="00372DB9">
            <w:pPr>
              <w:jc w:val="left"/>
              <w:rPr>
                <w:lang w:eastAsia="fr-FR"/>
              </w:rPr>
            </w:pPr>
            <w:r>
              <w:t>Prélèvement cellulaire sur l’embryon obtenu par fécondation in vitro</w:t>
            </w:r>
            <w:r>
              <w:rPr>
                <w:rStyle w:val="Appelnotedebasdep"/>
              </w:rPr>
              <w:footnoteReference w:id="4"/>
            </w:r>
          </w:p>
        </w:tc>
        <w:tc>
          <w:tcPr>
            <w:tcW w:w="2571" w:type="dxa"/>
          </w:tcPr>
          <w:p w14:paraId="11B46BD3" w14:textId="77777777" w:rsidR="008B46E7" w:rsidRPr="00C037E9" w:rsidRDefault="008B46E7" w:rsidP="00372DB9">
            <w:pPr>
              <w:jc w:val="left"/>
              <w:rPr>
                <w:lang w:eastAsia="fr-FR"/>
              </w:rPr>
            </w:pPr>
          </w:p>
        </w:tc>
        <w:tc>
          <w:tcPr>
            <w:tcW w:w="2885" w:type="dxa"/>
          </w:tcPr>
          <w:p w14:paraId="519936BF" w14:textId="77777777" w:rsidR="008B46E7" w:rsidRPr="00C037E9" w:rsidRDefault="008B46E7" w:rsidP="00372DB9">
            <w:pPr>
              <w:jc w:val="left"/>
              <w:rPr>
                <w:lang w:eastAsia="fr-FR"/>
              </w:rPr>
            </w:pPr>
          </w:p>
        </w:tc>
      </w:tr>
      <w:tr w:rsidR="008B46E7" w:rsidRPr="004A17C0" w14:paraId="63A64689" w14:textId="77777777" w:rsidTr="00F5008E">
        <w:trPr>
          <w:trHeight w:val="611"/>
        </w:trPr>
        <w:tc>
          <w:tcPr>
            <w:tcW w:w="4230" w:type="dxa"/>
          </w:tcPr>
          <w:p w14:paraId="1BA18296" w14:textId="77777777" w:rsidR="008B46E7" w:rsidRPr="00C037E9" w:rsidRDefault="008B46E7" w:rsidP="00372DB9">
            <w:pPr>
              <w:jc w:val="left"/>
              <w:rPr>
                <w:lang w:eastAsia="fr-FR"/>
              </w:rPr>
            </w:pPr>
            <w:r>
              <w:t>E</w:t>
            </w:r>
            <w:r w:rsidRPr="00C037E9">
              <w:t>xamens de cytogénétique, y compris moléculaire, sur la ou les cellules embryonnaires</w:t>
            </w:r>
            <w:r>
              <w:rPr>
                <w:rStyle w:val="Appelnotedebasdep"/>
              </w:rPr>
              <w:footnoteReference w:id="5"/>
            </w:r>
          </w:p>
        </w:tc>
        <w:tc>
          <w:tcPr>
            <w:tcW w:w="2571" w:type="dxa"/>
          </w:tcPr>
          <w:p w14:paraId="1E1B7874" w14:textId="77777777" w:rsidR="008B46E7" w:rsidRPr="00C037E9" w:rsidRDefault="008B46E7" w:rsidP="00372DB9">
            <w:pPr>
              <w:jc w:val="left"/>
              <w:rPr>
                <w:lang w:eastAsia="fr-FR"/>
              </w:rPr>
            </w:pPr>
          </w:p>
        </w:tc>
        <w:tc>
          <w:tcPr>
            <w:tcW w:w="2885" w:type="dxa"/>
          </w:tcPr>
          <w:p w14:paraId="1EE8CA51" w14:textId="77777777" w:rsidR="008B46E7" w:rsidRPr="00C037E9" w:rsidRDefault="008B46E7" w:rsidP="00372DB9">
            <w:pPr>
              <w:jc w:val="left"/>
              <w:rPr>
                <w:lang w:eastAsia="fr-FR"/>
              </w:rPr>
            </w:pPr>
          </w:p>
        </w:tc>
      </w:tr>
      <w:tr w:rsidR="008B46E7" w:rsidRPr="004A17C0" w14:paraId="4AA9B151" w14:textId="77777777" w:rsidTr="00F5008E">
        <w:trPr>
          <w:trHeight w:val="611"/>
        </w:trPr>
        <w:tc>
          <w:tcPr>
            <w:tcW w:w="4230" w:type="dxa"/>
          </w:tcPr>
          <w:p w14:paraId="7CECF00D" w14:textId="77777777" w:rsidR="008B46E7" w:rsidRPr="00C037E9" w:rsidRDefault="008B46E7" w:rsidP="00372DB9">
            <w:pPr>
              <w:jc w:val="left"/>
              <w:rPr>
                <w:lang w:eastAsia="fr-FR"/>
              </w:rPr>
            </w:pPr>
            <w:r>
              <w:t>E</w:t>
            </w:r>
            <w:r w:rsidRPr="00C037E9">
              <w:t>xamens de génétique moléculaire sur la ou les cellules embryonnaires</w:t>
            </w:r>
            <w:r w:rsidRPr="00A1487C">
              <w:rPr>
                <w:vertAlign w:val="superscript"/>
              </w:rPr>
              <w:t>4</w:t>
            </w:r>
          </w:p>
        </w:tc>
        <w:tc>
          <w:tcPr>
            <w:tcW w:w="2571" w:type="dxa"/>
          </w:tcPr>
          <w:p w14:paraId="28C20D59" w14:textId="77777777" w:rsidR="008B46E7" w:rsidRPr="00C037E9" w:rsidRDefault="008B46E7" w:rsidP="00372DB9">
            <w:pPr>
              <w:jc w:val="left"/>
              <w:rPr>
                <w:lang w:eastAsia="fr-FR"/>
              </w:rPr>
            </w:pPr>
          </w:p>
        </w:tc>
        <w:tc>
          <w:tcPr>
            <w:tcW w:w="2885" w:type="dxa"/>
          </w:tcPr>
          <w:p w14:paraId="3786D517" w14:textId="77777777" w:rsidR="008B46E7" w:rsidRPr="00C037E9" w:rsidRDefault="008B46E7" w:rsidP="00372DB9">
            <w:pPr>
              <w:jc w:val="left"/>
              <w:rPr>
                <w:lang w:eastAsia="fr-FR"/>
              </w:rPr>
            </w:pPr>
          </w:p>
        </w:tc>
      </w:tr>
      <w:bookmarkEnd w:id="28"/>
    </w:tbl>
    <w:p w14:paraId="39FB3E80" w14:textId="77777777" w:rsidR="005F2E9E" w:rsidRDefault="005F2E9E" w:rsidP="003D64B2">
      <w:pPr>
        <w:pStyle w:val="NormalWeb"/>
        <w:shd w:val="clear" w:color="auto" w:fill="FFFFFF"/>
        <w:spacing w:before="0" w:beforeAutospacing="0" w:after="240" w:afterAutospacing="0"/>
        <w:jc w:val="both"/>
        <w:rPr>
          <w:rFonts w:ascii="Arial" w:hAnsi="Arial" w:cs="Arial"/>
          <w:color w:val="000000"/>
          <w:sz w:val="20"/>
          <w:szCs w:val="20"/>
        </w:rPr>
      </w:pPr>
    </w:p>
    <w:p w14:paraId="7A5920A4" w14:textId="402C3BB4" w:rsidR="008B46E7" w:rsidRPr="003D64B2" w:rsidRDefault="008B46E7" w:rsidP="003D64B2">
      <w:pPr>
        <w:pStyle w:val="NormalWeb"/>
        <w:shd w:val="clear" w:color="auto" w:fill="FFFFFF"/>
        <w:spacing w:before="0" w:beforeAutospacing="0" w:after="240" w:afterAutospacing="0"/>
        <w:jc w:val="both"/>
        <w:rPr>
          <w:rFonts w:ascii="Arial" w:hAnsi="Arial" w:cs="Arial"/>
          <w:color w:val="000000"/>
          <w:sz w:val="20"/>
          <w:szCs w:val="20"/>
        </w:rPr>
      </w:pPr>
      <w:r w:rsidRPr="003D64B2">
        <w:rPr>
          <w:rFonts w:ascii="Arial" w:hAnsi="Arial" w:cs="Arial"/>
          <w:color w:val="000000"/>
          <w:sz w:val="20"/>
          <w:szCs w:val="20"/>
        </w:rPr>
        <w:t xml:space="preserve">Pour être autorisé à pratiquer le DPI, le centre doit exercer au sein d’un établissement titulaire d’une autorisation de pratiquer la fécondation </w:t>
      </w:r>
      <w:r w:rsidRPr="003D64B2">
        <w:rPr>
          <w:rFonts w:ascii="Arial" w:hAnsi="Arial" w:cs="Arial"/>
          <w:i/>
          <w:iCs/>
          <w:color w:val="000000"/>
          <w:sz w:val="20"/>
          <w:szCs w:val="20"/>
        </w:rPr>
        <w:t>in vitro</w:t>
      </w:r>
      <w:r w:rsidRPr="003D64B2">
        <w:rPr>
          <w:rFonts w:ascii="Arial" w:hAnsi="Arial" w:cs="Arial"/>
          <w:color w:val="000000"/>
          <w:sz w:val="20"/>
          <w:szCs w:val="20"/>
        </w:rPr>
        <w:t xml:space="preserve"> avec micromanipulation ainsi que d’une autorisation à réaliser des diagnostics génétiques prénatals. L’établissement doit également disposer d’un CPDPN autorisé, dont l’avis est nécessaire pour déclencher la mise en œuvre d’un DPI</w:t>
      </w:r>
      <w:r>
        <w:rPr>
          <w:rFonts w:ascii="Arial" w:hAnsi="Arial" w:cs="Arial"/>
          <w:color w:val="000000"/>
          <w:sz w:val="20"/>
          <w:szCs w:val="20"/>
        </w:rPr>
        <w:t>.</w:t>
      </w:r>
    </w:p>
    <w:tbl>
      <w:tblPr>
        <w:tblStyle w:val="Grilledutableau"/>
        <w:tblW w:w="9661" w:type="dxa"/>
        <w:tblLook w:val="04A0" w:firstRow="1" w:lastRow="0" w:firstColumn="1" w:lastColumn="0" w:noHBand="0" w:noVBand="1"/>
      </w:tblPr>
      <w:tblGrid>
        <w:gridCol w:w="4232"/>
        <w:gridCol w:w="2696"/>
        <w:gridCol w:w="2733"/>
      </w:tblGrid>
      <w:tr w:rsidR="003D64B2" w:rsidRPr="003D64B2" w14:paraId="03D7D4D8" w14:textId="77777777" w:rsidTr="0010080E">
        <w:trPr>
          <w:trHeight w:val="222"/>
        </w:trPr>
        <w:tc>
          <w:tcPr>
            <w:tcW w:w="4232" w:type="dxa"/>
            <w:shd w:val="clear" w:color="auto" w:fill="E7E6E6" w:themeFill="background2"/>
          </w:tcPr>
          <w:p w14:paraId="5B4B08CE" w14:textId="48C80BDA" w:rsidR="003D64B2" w:rsidRPr="008B46E7" w:rsidRDefault="003D64B2" w:rsidP="00372DB9">
            <w:pPr>
              <w:jc w:val="left"/>
              <w:rPr>
                <w:rFonts w:cs="Arial"/>
                <w:b/>
                <w:bCs/>
                <w:szCs w:val="20"/>
                <w:lang w:eastAsia="fr-FR"/>
              </w:rPr>
            </w:pPr>
            <w:bookmarkStart w:id="29" w:name="_Hlk209701092"/>
            <w:r w:rsidRPr="008B46E7">
              <w:rPr>
                <w:rFonts w:cs="Arial"/>
                <w:b/>
                <w:bCs/>
                <w:szCs w:val="20"/>
                <w:lang w:eastAsia="fr-FR"/>
              </w:rPr>
              <w:t>Type autorisation</w:t>
            </w:r>
          </w:p>
        </w:tc>
        <w:tc>
          <w:tcPr>
            <w:tcW w:w="2696" w:type="dxa"/>
            <w:shd w:val="clear" w:color="auto" w:fill="E7E6E6" w:themeFill="background2"/>
          </w:tcPr>
          <w:p w14:paraId="689DBD72" w14:textId="77777777" w:rsidR="003D64B2" w:rsidRPr="008B46E7" w:rsidRDefault="003D64B2" w:rsidP="00372DB9">
            <w:pPr>
              <w:jc w:val="left"/>
              <w:rPr>
                <w:rFonts w:cs="Arial"/>
                <w:b/>
                <w:bCs/>
                <w:szCs w:val="20"/>
                <w:lang w:eastAsia="fr-FR"/>
              </w:rPr>
            </w:pPr>
            <w:r w:rsidRPr="008B46E7">
              <w:rPr>
                <w:rFonts w:cs="Arial"/>
                <w:b/>
                <w:bCs/>
                <w:szCs w:val="20"/>
                <w:lang w:eastAsia="fr-FR"/>
              </w:rPr>
              <w:t>Site d’activité</w:t>
            </w:r>
          </w:p>
        </w:tc>
        <w:tc>
          <w:tcPr>
            <w:tcW w:w="2733" w:type="dxa"/>
            <w:shd w:val="clear" w:color="auto" w:fill="E7E6E6" w:themeFill="background2"/>
          </w:tcPr>
          <w:p w14:paraId="0679ACDD" w14:textId="4F4FC2C1" w:rsidR="003D64B2" w:rsidRPr="008B46E7" w:rsidRDefault="003D64B2" w:rsidP="00372DB9">
            <w:pPr>
              <w:jc w:val="left"/>
              <w:rPr>
                <w:rFonts w:cs="Arial"/>
                <w:b/>
                <w:bCs/>
                <w:szCs w:val="20"/>
                <w:lang w:eastAsia="fr-FR"/>
              </w:rPr>
            </w:pPr>
            <w:r w:rsidRPr="008B46E7">
              <w:rPr>
                <w:rFonts w:cs="Arial"/>
                <w:b/>
                <w:bCs/>
                <w:szCs w:val="20"/>
                <w:lang w:eastAsia="fr-FR"/>
              </w:rPr>
              <w:t>Date autorisation</w:t>
            </w:r>
          </w:p>
        </w:tc>
      </w:tr>
      <w:tr w:rsidR="003D64B2" w:rsidRPr="003D64B2" w14:paraId="18B84906" w14:textId="77777777" w:rsidTr="008B46E7">
        <w:trPr>
          <w:trHeight w:val="598"/>
        </w:trPr>
        <w:tc>
          <w:tcPr>
            <w:tcW w:w="4232" w:type="dxa"/>
          </w:tcPr>
          <w:p w14:paraId="125E37B6" w14:textId="77777777" w:rsidR="003D64B2" w:rsidRPr="003D64B2" w:rsidRDefault="003D64B2" w:rsidP="00372DB9">
            <w:pPr>
              <w:jc w:val="left"/>
              <w:rPr>
                <w:rFonts w:cs="Arial"/>
                <w:szCs w:val="20"/>
                <w:lang w:eastAsia="fr-FR"/>
              </w:rPr>
            </w:pPr>
            <w:r w:rsidRPr="003D64B2">
              <w:rPr>
                <w:rFonts w:cs="Arial"/>
                <w:szCs w:val="20"/>
                <w:lang w:eastAsia="fr-FR"/>
              </w:rPr>
              <w:t xml:space="preserve">AMP : autorisation AMP Bio dont </w:t>
            </w:r>
            <w:r w:rsidRPr="003D64B2">
              <w:rPr>
                <w:rFonts w:cs="Arial"/>
                <w:color w:val="000000"/>
                <w:szCs w:val="20"/>
                <w:shd w:val="clear" w:color="auto" w:fill="FFFFFF"/>
              </w:rPr>
              <w:t>fécondation in vitro avec micromanipulation.</w:t>
            </w:r>
          </w:p>
        </w:tc>
        <w:tc>
          <w:tcPr>
            <w:tcW w:w="2696" w:type="dxa"/>
          </w:tcPr>
          <w:p w14:paraId="438BEB27" w14:textId="77777777" w:rsidR="003D64B2" w:rsidRPr="003D64B2" w:rsidRDefault="003D64B2" w:rsidP="00372DB9">
            <w:pPr>
              <w:pStyle w:val="Titre"/>
              <w:rPr>
                <w:szCs w:val="20"/>
              </w:rPr>
            </w:pPr>
          </w:p>
        </w:tc>
        <w:tc>
          <w:tcPr>
            <w:tcW w:w="2733" w:type="dxa"/>
          </w:tcPr>
          <w:p w14:paraId="69C90D2F" w14:textId="5580BE2B" w:rsidR="003D64B2" w:rsidRPr="008B46E7" w:rsidRDefault="008B46E7" w:rsidP="00372DB9">
            <w:pPr>
              <w:jc w:val="left"/>
              <w:rPr>
                <w:rFonts w:cs="Arial"/>
                <w:b/>
                <w:bCs/>
                <w:szCs w:val="20"/>
                <w:lang w:eastAsia="fr-FR"/>
              </w:rPr>
            </w:pPr>
            <w:r w:rsidRPr="008B46E7">
              <w:rPr>
                <w:rFonts w:cs="Arial"/>
                <w:b/>
                <w:bCs/>
                <w:szCs w:val="20"/>
                <w:lang w:eastAsia="fr-FR"/>
              </w:rPr>
              <w:t>Par ARS :</w:t>
            </w:r>
          </w:p>
        </w:tc>
      </w:tr>
      <w:tr w:rsidR="003D64B2" w:rsidRPr="003D64B2" w14:paraId="728EBD7D" w14:textId="77777777" w:rsidTr="003D64B2">
        <w:trPr>
          <w:trHeight w:val="462"/>
        </w:trPr>
        <w:tc>
          <w:tcPr>
            <w:tcW w:w="4232" w:type="dxa"/>
          </w:tcPr>
          <w:p w14:paraId="70D6264C" w14:textId="4D6B7440" w:rsidR="003D64B2" w:rsidRPr="003D64B2" w:rsidRDefault="008B46E7" w:rsidP="00372DB9">
            <w:pPr>
              <w:jc w:val="left"/>
              <w:rPr>
                <w:rFonts w:cs="Arial"/>
                <w:szCs w:val="20"/>
                <w:lang w:eastAsia="fr-FR"/>
              </w:rPr>
            </w:pPr>
            <w:r>
              <w:rPr>
                <w:rFonts w:cs="Arial"/>
                <w:color w:val="000000"/>
                <w:szCs w:val="20"/>
              </w:rPr>
              <w:t xml:space="preserve">Biologie / </w:t>
            </w:r>
            <w:r w:rsidRPr="003D64B2">
              <w:rPr>
                <w:rFonts w:cs="Arial"/>
                <w:color w:val="000000"/>
                <w:szCs w:val="20"/>
              </w:rPr>
              <w:t>autorisation à réaliser des diagnostics génétiques prénatals.</w:t>
            </w:r>
          </w:p>
        </w:tc>
        <w:tc>
          <w:tcPr>
            <w:tcW w:w="2696" w:type="dxa"/>
          </w:tcPr>
          <w:p w14:paraId="62881783" w14:textId="77777777" w:rsidR="003D64B2" w:rsidRPr="003D64B2" w:rsidRDefault="003D64B2" w:rsidP="00372DB9">
            <w:pPr>
              <w:jc w:val="left"/>
              <w:rPr>
                <w:rFonts w:cs="Arial"/>
                <w:szCs w:val="20"/>
                <w:lang w:eastAsia="fr-FR"/>
              </w:rPr>
            </w:pPr>
          </w:p>
        </w:tc>
        <w:tc>
          <w:tcPr>
            <w:tcW w:w="2733" w:type="dxa"/>
          </w:tcPr>
          <w:p w14:paraId="19FAD7A1" w14:textId="0B8B7A0C" w:rsidR="003D64B2" w:rsidRPr="008B46E7" w:rsidRDefault="008B46E7" w:rsidP="00372DB9">
            <w:pPr>
              <w:jc w:val="left"/>
              <w:rPr>
                <w:rFonts w:cs="Arial"/>
                <w:b/>
                <w:bCs/>
                <w:szCs w:val="20"/>
                <w:lang w:eastAsia="fr-FR"/>
              </w:rPr>
            </w:pPr>
            <w:r w:rsidRPr="008B46E7">
              <w:rPr>
                <w:rFonts w:cs="Arial"/>
                <w:b/>
                <w:bCs/>
                <w:szCs w:val="20"/>
                <w:lang w:eastAsia="fr-FR"/>
              </w:rPr>
              <w:t>Par ARS :</w:t>
            </w:r>
          </w:p>
        </w:tc>
      </w:tr>
      <w:tr w:rsidR="0010080E" w:rsidRPr="003D64B2" w14:paraId="094D5082" w14:textId="77777777" w:rsidTr="003D64B2">
        <w:trPr>
          <w:trHeight w:val="462"/>
        </w:trPr>
        <w:tc>
          <w:tcPr>
            <w:tcW w:w="4232" w:type="dxa"/>
          </w:tcPr>
          <w:p w14:paraId="173C06FA" w14:textId="03481D10" w:rsidR="0010080E" w:rsidRDefault="0010080E" w:rsidP="0010080E">
            <w:pPr>
              <w:jc w:val="left"/>
              <w:rPr>
                <w:rFonts w:cs="Arial"/>
                <w:color w:val="000000"/>
                <w:szCs w:val="20"/>
              </w:rPr>
            </w:pPr>
            <w:r w:rsidRPr="003D64B2">
              <w:rPr>
                <w:rFonts w:cs="Arial"/>
                <w:szCs w:val="20"/>
              </w:rPr>
              <w:t>Autorisation CPDPN</w:t>
            </w:r>
          </w:p>
        </w:tc>
        <w:tc>
          <w:tcPr>
            <w:tcW w:w="2696" w:type="dxa"/>
          </w:tcPr>
          <w:p w14:paraId="74E45033" w14:textId="77777777" w:rsidR="0010080E" w:rsidRPr="003D64B2" w:rsidRDefault="0010080E" w:rsidP="0010080E">
            <w:pPr>
              <w:jc w:val="left"/>
              <w:rPr>
                <w:rFonts w:cs="Arial"/>
                <w:szCs w:val="20"/>
                <w:lang w:eastAsia="fr-FR"/>
              </w:rPr>
            </w:pPr>
          </w:p>
        </w:tc>
        <w:tc>
          <w:tcPr>
            <w:tcW w:w="2733" w:type="dxa"/>
          </w:tcPr>
          <w:p w14:paraId="75E5BB3F" w14:textId="008F9D6C" w:rsidR="0010080E" w:rsidRPr="008B46E7" w:rsidRDefault="0010080E" w:rsidP="0010080E">
            <w:pPr>
              <w:jc w:val="left"/>
              <w:rPr>
                <w:rFonts w:cs="Arial"/>
                <w:b/>
                <w:bCs/>
                <w:szCs w:val="20"/>
                <w:lang w:eastAsia="fr-FR"/>
              </w:rPr>
            </w:pPr>
            <w:r w:rsidRPr="008B46E7">
              <w:rPr>
                <w:rFonts w:cs="Arial"/>
                <w:b/>
                <w:bCs/>
                <w:szCs w:val="20"/>
                <w:lang w:eastAsia="fr-FR"/>
              </w:rPr>
              <w:t xml:space="preserve">Par ABM : </w:t>
            </w:r>
          </w:p>
        </w:tc>
      </w:tr>
    </w:tbl>
    <w:bookmarkEnd w:id="29"/>
    <w:p w14:paraId="0B9F06FC" w14:textId="1AF776D3" w:rsidR="003D64B2" w:rsidRDefault="003D64B2" w:rsidP="00AD7795">
      <w:pPr>
        <w:pStyle w:val="NormalWeb"/>
        <w:shd w:val="clear" w:color="auto" w:fill="FFFFFF"/>
        <w:spacing w:before="0" w:beforeAutospacing="0" w:after="240" w:afterAutospacing="0"/>
        <w:rPr>
          <w:rFonts w:ascii="Arial" w:hAnsi="Arial" w:cs="Arial"/>
          <w:color w:val="000000"/>
          <w:sz w:val="21"/>
          <w:szCs w:val="21"/>
        </w:rPr>
      </w:pPr>
      <w:r>
        <w:rPr>
          <w:rFonts w:ascii="Arial" w:hAnsi="Arial" w:cs="Arial"/>
          <w:color w:val="000000"/>
          <w:sz w:val="21"/>
          <w:szCs w:val="21"/>
        </w:rPr>
        <w:t xml:space="preserve">  </w:t>
      </w:r>
    </w:p>
    <w:p w14:paraId="22964449" w14:textId="77777777" w:rsidR="00262A13" w:rsidRDefault="00262A13" w:rsidP="00AD7795">
      <w:pPr>
        <w:pStyle w:val="NormalWeb"/>
        <w:shd w:val="clear" w:color="auto" w:fill="FFFFFF"/>
        <w:spacing w:before="0" w:beforeAutospacing="0" w:after="240" w:afterAutospacing="0"/>
        <w:rPr>
          <w:rFonts w:ascii="Arial" w:hAnsi="Arial" w:cs="Arial"/>
          <w:color w:val="000000"/>
          <w:sz w:val="21"/>
          <w:szCs w:val="21"/>
        </w:rPr>
      </w:pPr>
    </w:p>
    <w:p w14:paraId="756FBC8E" w14:textId="52587A50" w:rsidR="003D64B2" w:rsidRPr="003D64B2" w:rsidRDefault="003D64B2" w:rsidP="003D64B2">
      <w:pPr>
        <w:pStyle w:val="NormalWeb"/>
        <w:shd w:val="clear" w:color="auto" w:fill="FFFFFF"/>
        <w:spacing w:before="0" w:beforeAutospacing="0" w:after="240" w:afterAutospacing="0"/>
        <w:jc w:val="both"/>
        <w:rPr>
          <w:rFonts w:ascii="Arial" w:hAnsi="Arial" w:cs="Arial"/>
          <w:color w:val="000000"/>
          <w:sz w:val="20"/>
          <w:szCs w:val="20"/>
        </w:rPr>
      </w:pPr>
      <w:r>
        <w:rPr>
          <w:rFonts w:ascii="Arial" w:hAnsi="Arial" w:cs="Arial"/>
          <w:color w:val="000000"/>
          <w:sz w:val="21"/>
          <w:szCs w:val="21"/>
        </w:rPr>
        <w:t xml:space="preserve"> </w:t>
      </w:r>
    </w:p>
    <w:p w14:paraId="0215684B" w14:textId="77777777" w:rsidR="007D78A0" w:rsidRDefault="007D78A0" w:rsidP="007D78A0">
      <w:pPr>
        <w:rPr>
          <w:strike/>
          <w:lang w:eastAsia="fr-FR"/>
        </w:rPr>
      </w:pPr>
    </w:p>
    <w:p w14:paraId="1F646BAC" w14:textId="77777777" w:rsidR="007D78A0" w:rsidRPr="004A17C0" w:rsidRDefault="007D78A0" w:rsidP="007D78A0">
      <w:pPr>
        <w:rPr>
          <w:lang w:eastAsia="fr-FR"/>
        </w:rPr>
      </w:pPr>
    </w:p>
    <w:p w14:paraId="52FF6682" w14:textId="3DFB6335" w:rsidR="007D78A0" w:rsidRDefault="007D78A0" w:rsidP="007D78A0">
      <w:pPr>
        <w:rPr>
          <w:strike/>
        </w:rPr>
      </w:pPr>
    </w:p>
    <w:p w14:paraId="7019B9EC" w14:textId="25FE927D" w:rsidR="008B46E7" w:rsidRDefault="008B46E7" w:rsidP="007D78A0">
      <w:pPr>
        <w:rPr>
          <w:strike/>
        </w:rPr>
      </w:pPr>
    </w:p>
    <w:p w14:paraId="214D8320" w14:textId="77777777" w:rsidR="008B46E7" w:rsidRPr="007D78A0" w:rsidRDefault="008B46E7" w:rsidP="007D78A0">
      <w:pPr>
        <w:rPr>
          <w:strike/>
        </w:rPr>
      </w:pPr>
    </w:p>
    <w:p w14:paraId="2C16EE56" w14:textId="76CD56C1" w:rsidR="003941F3" w:rsidRPr="004A17C0" w:rsidRDefault="003941F3" w:rsidP="003941F3">
      <w:pPr>
        <w:pStyle w:val="Titre1"/>
        <w:rPr>
          <w:lang w:eastAsia="fr-FR"/>
        </w:rPr>
      </w:pPr>
      <w:bookmarkStart w:id="30" w:name="_Toc211239496"/>
      <w:bookmarkStart w:id="31" w:name="_Toc211503147"/>
      <w:r w:rsidRPr="00A35F14">
        <w:t xml:space="preserve">ARTICLE </w:t>
      </w:r>
      <w:r>
        <w:t xml:space="preserve">2 : </w:t>
      </w:r>
      <w:r w:rsidRPr="004A17C0">
        <w:t>STRUCTURE, SITE ET DENOMINATION</w:t>
      </w:r>
      <w:bookmarkEnd w:id="30"/>
      <w:bookmarkEnd w:id="31"/>
      <w:r w:rsidRPr="004A17C0">
        <w:t xml:space="preserve"> </w:t>
      </w:r>
    </w:p>
    <w:p w14:paraId="06C2162A" w14:textId="77777777" w:rsidR="003941F3" w:rsidRDefault="003941F3" w:rsidP="003941F3">
      <w:pPr>
        <w:rPr>
          <w:strike/>
        </w:rPr>
      </w:pPr>
    </w:p>
    <w:p w14:paraId="5ED8F038" w14:textId="0EE76EE4" w:rsidR="003941F3" w:rsidRPr="003941F3" w:rsidRDefault="003941F3" w:rsidP="003941F3">
      <w:r w:rsidRPr="003941F3">
        <w:t xml:space="preserve">Le CDPI de </w:t>
      </w:r>
      <w:r w:rsidRPr="003941F3">
        <w:rPr>
          <w:i/>
          <w:iCs/>
          <w:shd w:val="clear" w:color="auto" w:fill="F2F2F2" w:themeFill="background1" w:themeFillShade="F2"/>
        </w:rPr>
        <w:t>(hôpital)</w:t>
      </w:r>
      <w:r w:rsidRPr="003941F3">
        <w:t xml:space="preserve"> </w:t>
      </w:r>
      <w:r w:rsidR="009A3F08" w:rsidRPr="003941F3">
        <w:t>…………</w:t>
      </w:r>
      <w:r w:rsidR="009A3F08">
        <w:t>………</w:t>
      </w:r>
      <w:proofErr w:type="gramStart"/>
      <w:r w:rsidR="009A3F08">
        <w:t>…….</w:t>
      </w:r>
      <w:proofErr w:type="gramEnd"/>
      <w:r w:rsidR="009A3F08">
        <w:t>.</w:t>
      </w:r>
      <w:r w:rsidR="009A3F08" w:rsidRPr="003941F3">
        <w:t xml:space="preserve">se situe </w:t>
      </w:r>
      <w:r w:rsidRPr="003941F3">
        <w:t>……………….</w:t>
      </w:r>
    </w:p>
    <w:p w14:paraId="5C572322" w14:textId="74EB03BE" w:rsidR="009A3F08" w:rsidRDefault="003941F3" w:rsidP="003941F3">
      <w:r w:rsidRPr="003941F3">
        <w:t>Activité réalisée dans le cadre du DPI</w:t>
      </w:r>
    </w:p>
    <w:p w14:paraId="43847F91" w14:textId="76FB8416" w:rsidR="003941F3" w:rsidRPr="00F5008E" w:rsidRDefault="00275267" w:rsidP="003941F3">
      <w:pPr>
        <w:rPr>
          <w:i/>
          <w:iCs/>
          <w:shd w:val="clear" w:color="auto" w:fill="F2F2F2" w:themeFill="background1" w:themeFillShade="F2"/>
          <w:lang w:eastAsia="fr-FR"/>
        </w:rPr>
      </w:pPr>
      <w:r>
        <w:rPr>
          <w:i/>
          <w:iCs/>
          <w:shd w:val="clear" w:color="auto" w:fill="F2F2F2" w:themeFill="background1" w:themeFillShade="F2"/>
          <w:lang w:eastAsia="fr-FR"/>
        </w:rPr>
        <w:t>(</w:t>
      </w:r>
      <w:r w:rsidR="009A3F08" w:rsidRPr="00F5008E">
        <w:rPr>
          <w:i/>
          <w:iCs/>
          <w:shd w:val="clear" w:color="auto" w:fill="F2F2F2" w:themeFill="background1" w:themeFillShade="F2"/>
          <w:lang w:eastAsia="fr-FR"/>
        </w:rPr>
        <w:t>Préciser tous les sites si activité multisites</w:t>
      </w:r>
      <w:r>
        <w:rPr>
          <w:i/>
          <w:iCs/>
          <w:shd w:val="clear" w:color="auto" w:fill="F2F2F2" w:themeFill="background1" w:themeFillShade="F2"/>
          <w:lang w:eastAsia="fr-FR"/>
        </w:rPr>
        <w:t xml:space="preserve">) </w:t>
      </w:r>
      <w:r w:rsidR="003941F3" w:rsidRPr="00F5008E">
        <w:rPr>
          <w:i/>
          <w:iCs/>
          <w:shd w:val="clear" w:color="auto" w:fill="F2F2F2" w:themeFill="background1" w:themeFillShade="F2"/>
          <w:lang w:eastAsia="fr-FR"/>
        </w:rPr>
        <w:t>:</w:t>
      </w:r>
    </w:p>
    <w:p w14:paraId="4D1EB4BE" w14:textId="77777777" w:rsidR="003941F3" w:rsidRPr="003941F3" w:rsidRDefault="003941F3" w:rsidP="003941F3">
      <w:pPr>
        <w:pStyle w:val="Paragraphedeliste"/>
        <w:rPr>
          <w:lang w:eastAsia="fr-FR"/>
        </w:rPr>
      </w:pPr>
    </w:p>
    <w:p w14:paraId="2E08B969" w14:textId="77777777" w:rsidR="003941F3" w:rsidRPr="003941F3" w:rsidRDefault="003941F3" w:rsidP="003941F3">
      <w:pPr>
        <w:pStyle w:val="Paragraphedeliste"/>
        <w:numPr>
          <w:ilvl w:val="0"/>
          <w:numId w:val="1"/>
        </w:numPr>
        <w:rPr>
          <w:lang w:eastAsia="fr-FR"/>
        </w:rPr>
      </w:pPr>
      <w:r w:rsidRPr="003941F3">
        <w:rPr>
          <w:lang w:eastAsia="fr-FR"/>
        </w:rPr>
        <w:t>Adresse :</w:t>
      </w:r>
    </w:p>
    <w:p w14:paraId="1FBDC990" w14:textId="77777777" w:rsidR="003941F3" w:rsidRPr="003941F3" w:rsidRDefault="003941F3" w:rsidP="003941F3">
      <w:pPr>
        <w:pStyle w:val="Paragraphedeliste"/>
        <w:numPr>
          <w:ilvl w:val="0"/>
          <w:numId w:val="1"/>
        </w:numPr>
        <w:rPr>
          <w:lang w:eastAsia="fr-FR"/>
        </w:rPr>
      </w:pPr>
      <w:r w:rsidRPr="003941F3">
        <w:rPr>
          <w:lang w:eastAsia="fr-FR"/>
        </w:rPr>
        <w:t xml:space="preserve">Téléphone </w:t>
      </w:r>
      <w:r w:rsidRPr="003941F3">
        <w:rPr>
          <w:i/>
          <w:iCs/>
          <w:shd w:val="clear" w:color="auto" w:fill="F2F2F2" w:themeFill="background1" w:themeFillShade="F2"/>
          <w:lang w:eastAsia="fr-FR"/>
        </w:rPr>
        <w:t>ligne dédiée</w:t>
      </w:r>
      <w:r w:rsidRPr="003941F3">
        <w:rPr>
          <w:lang w:eastAsia="fr-FR"/>
        </w:rPr>
        <w:t> :</w:t>
      </w:r>
    </w:p>
    <w:p w14:paraId="4EEA59AD" w14:textId="77777777" w:rsidR="003941F3" w:rsidRPr="003941F3" w:rsidRDefault="003941F3" w:rsidP="003941F3">
      <w:pPr>
        <w:pStyle w:val="Paragraphedeliste"/>
        <w:numPr>
          <w:ilvl w:val="0"/>
          <w:numId w:val="1"/>
        </w:numPr>
        <w:rPr>
          <w:i/>
          <w:iCs/>
          <w:lang w:eastAsia="fr-FR"/>
        </w:rPr>
      </w:pPr>
      <w:r w:rsidRPr="003941F3">
        <w:rPr>
          <w:lang w:eastAsia="fr-FR"/>
        </w:rPr>
        <w:t>Mail </w:t>
      </w:r>
      <w:r w:rsidRPr="003941F3">
        <w:rPr>
          <w:i/>
          <w:iCs/>
          <w:shd w:val="clear" w:color="auto" w:fill="F2F2F2" w:themeFill="background1" w:themeFillShade="F2"/>
          <w:lang w:eastAsia="fr-FR"/>
        </w:rPr>
        <w:t>adresse électronique sécurisée et dédiée au CDPI</w:t>
      </w:r>
      <w:r w:rsidRPr="003941F3">
        <w:rPr>
          <w:i/>
          <w:iCs/>
          <w:lang w:eastAsia="fr-FR"/>
        </w:rPr>
        <w:t> :</w:t>
      </w:r>
    </w:p>
    <w:p w14:paraId="0F7F1CD0" w14:textId="409DE1B2" w:rsidR="003941F3" w:rsidRPr="00F5008E" w:rsidRDefault="003941F3" w:rsidP="003941F3">
      <w:pPr>
        <w:pStyle w:val="Paragraphedeliste"/>
        <w:numPr>
          <w:ilvl w:val="0"/>
          <w:numId w:val="1"/>
        </w:numPr>
        <w:rPr>
          <w:i/>
          <w:iCs/>
          <w:shd w:val="clear" w:color="auto" w:fill="F2F2F2" w:themeFill="background1" w:themeFillShade="F2"/>
          <w:lang w:eastAsia="fr-FR"/>
        </w:rPr>
      </w:pPr>
      <w:r w:rsidRPr="003941F3">
        <w:rPr>
          <w:lang w:eastAsia="fr-FR"/>
        </w:rPr>
        <w:t xml:space="preserve">Site internet </w:t>
      </w:r>
      <w:r w:rsidRPr="00F5008E">
        <w:rPr>
          <w:i/>
          <w:iCs/>
          <w:shd w:val="clear" w:color="auto" w:fill="F2F2F2" w:themeFill="background1" w:themeFillShade="F2"/>
          <w:lang w:eastAsia="fr-FR"/>
        </w:rPr>
        <w:t>(y figurent les conditions d’accès au centre, le mode de saisine du centre, la composition de l’équipe pluridisciplinaire, les documents d’information mis à disposition, les principaux formulaires utilisés par le CDPI) :</w:t>
      </w:r>
    </w:p>
    <w:p w14:paraId="12F89837" w14:textId="77777777" w:rsidR="009A3F08" w:rsidRPr="003941F3" w:rsidRDefault="009A3F08" w:rsidP="00F5008E">
      <w:pPr>
        <w:rPr>
          <w:lang w:eastAsia="fr-FR"/>
        </w:rPr>
      </w:pPr>
    </w:p>
    <w:p w14:paraId="48B41826" w14:textId="0F5CDC00" w:rsidR="004A17C0" w:rsidRDefault="00A35F14" w:rsidP="004A17C0">
      <w:pPr>
        <w:pStyle w:val="Titre1"/>
      </w:pPr>
      <w:bookmarkStart w:id="32" w:name="_Toc211239497"/>
      <w:bookmarkStart w:id="33" w:name="_Toc211503148"/>
      <w:bookmarkEnd w:id="14"/>
      <w:bookmarkEnd w:id="15"/>
      <w:bookmarkEnd w:id="16"/>
      <w:bookmarkEnd w:id="17"/>
      <w:bookmarkEnd w:id="18"/>
      <w:bookmarkEnd w:id="19"/>
      <w:bookmarkEnd w:id="20"/>
      <w:bookmarkEnd w:id="21"/>
      <w:bookmarkEnd w:id="22"/>
      <w:bookmarkEnd w:id="23"/>
      <w:bookmarkEnd w:id="26"/>
      <w:bookmarkEnd w:id="27"/>
      <w:r w:rsidRPr="00A35F14">
        <w:t xml:space="preserve">ARTICLE </w:t>
      </w:r>
      <w:r w:rsidR="003941F3">
        <w:t>3</w:t>
      </w:r>
      <w:r w:rsidRPr="00A35F14">
        <w:t xml:space="preserve"> : LES PROFESSIONNELS DE L’EQUIPE DU CENTRE DE DPI</w:t>
      </w:r>
      <w:bookmarkStart w:id="34" w:name="_Toc59447103"/>
      <w:bookmarkStart w:id="35" w:name="_Toc174356152"/>
      <w:bookmarkStart w:id="36" w:name="_Toc174356581"/>
      <w:bookmarkStart w:id="37" w:name="_Toc174978456"/>
      <w:bookmarkStart w:id="38" w:name="_Toc175321117"/>
      <w:bookmarkStart w:id="39" w:name="_Toc175337933"/>
      <w:bookmarkStart w:id="40" w:name="_Toc175338056"/>
      <w:bookmarkStart w:id="41" w:name="_Toc175338110"/>
      <w:bookmarkStart w:id="42" w:name="_Toc175338164"/>
      <w:bookmarkStart w:id="43" w:name="_Toc176182487"/>
      <w:bookmarkStart w:id="44" w:name="_Toc178266339"/>
      <w:bookmarkStart w:id="45" w:name="_Toc178284954"/>
      <w:bookmarkStart w:id="46" w:name="_Toc299630885"/>
      <w:bookmarkStart w:id="47" w:name="_Toc56859899"/>
      <w:bookmarkEnd w:id="32"/>
      <w:bookmarkEnd w:id="33"/>
    </w:p>
    <w:p w14:paraId="6D21493C" w14:textId="1015EEB6" w:rsidR="004A17C0" w:rsidRDefault="004A17C0" w:rsidP="004A17C0"/>
    <w:p w14:paraId="246B08E5" w14:textId="73EDB21A" w:rsidR="008B46E7" w:rsidRDefault="004A17C0" w:rsidP="004A17C0">
      <w:r>
        <w:t xml:space="preserve">La composition de l’équipe </w:t>
      </w:r>
      <w:r w:rsidR="00815DDF">
        <w:t xml:space="preserve">(annexe 2) </w:t>
      </w:r>
      <w:r>
        <w:t xml:space="preserve">doit permettre la réalisation de l’ensemble des techniques mises en œuvre dans le parcours de soins du DPI et d’assurer la continuité des soins. </w:t>
      </w:r>
    </w:p>
    <w:p w14:paraId="4F07BE37" w14:textId="686CF852" w:rsidR="00815DDF" w:rsidRPr="00867DFD" w:rsidRDefault="00815DDF" w:rsidP="004A17C0">
      <w:r>
        <w:t>L’ensemble du personnel de l’équipe du centre de DPI doit bénéficier d’une formation initiale et d’une formation continue en adéquation avec la mission de chaque poste</w:t>
      </w:r>
      <w:r w:rsidR="00262A13">
        <w:t xml:space="preserve"> </w:t>
      </w:r>
      <w:r w:rsidR="00262A13" w:rsidRPr="00867DFD">
        <w:rPr>
          <w:i/>
          <w:iCs/>
        </w:rPr>
        <w:t>(attestation d’engagement annexe 3).</w:t>
      </w:r>
    </w:p>
    <w:p w14:paraId="0EC37FC2" w14:textId="77777777" w:rsidR="008B46E7" w:rsidRDefault="008B46E7" w:rsidP="004A17C0"/>
    <w:p w14:paraId="12D32577" w14:textId="03A1D591" w:rsidR="004A17C0" w:rsidRDefault="008B46E7" w:rsidP="004A17C0">
      <w:pPr>
        <w:rPr>
          <w:rStyle w:val="Titre2Car"/>
        </w:rPr>
      </w:pPr>
      <w:bookmarkStart w:id="48" w:name="_Toc211239498"/>
      <w:bookmarkStart w:id="49" w:name="_Toc211503149"/>
      <w:r w:rsidRPr="002623C6">
        <w:rPr>
          <w:rStyle w:val="Titre2Car"/>
        </w:rPr>
        <w:t xml:space="preserve">Praticiens agréés </w:t>
      </w:r>
      <w:r w:rsidR="004A17C0" w:rsidRPr="002623C6">
        <w:rPr>
          <w:rStyle w:val="Titre2Car"/>
        </w:rPr>
        <w:t>pour chaque activité</w:t>
      </w:r>
      <w:bookmarkEnd w:id="48"/>
      <w:bookmarkEnd w:id="49"/>
    </w:p>
    <w:p w14:paraId="4D6DD42A" w14:textId="76D48385" w:rsidR="00B758B4" w:rsidRDefault="00B758B4" w:rsidP="004A17C0">
      <w:pPr>
        <w:rPr>
          <w:rStyle w:val="Titre2Car"/>
        </w:rPr>
      </w:pPr>
    </w:p>
    <w:p w14:paraId="51C6807F" w14:textId="778DE5BC" w:rsidR="00B758B4" w:rsidRPr="00F5008E" w:rsidRDefault="00B758B4" w:rsidP="00F5008E">
      <w:pPr>
        <w:shd w:val="clear" w:color="auto" w:fill="F2F2F2" w:themeFill="background1" w:themeFillShade="F2"/>
        <w:rPr>
          <w:i/>
          <w:iCs/>
        </w:rPr>
      </w:pPr>
      <w:r w:rsidRPr="00F5008E">
        <w:rPr>
          <w:i/>
          <w:iCs/>
        </w:rPr>
        <w:t>Voir annexe 2</w:t>
      </w:r>
    </w:p>
    <w:p w14:paraId="3FB28C9E" w14:textId="77777777" w:rsidR="00815DDF" w:rsidRPr="008B46E7" w:rsidRDefault="00815DDF" w:rsidP="004A17C0"/>
    <w:p w14:paraId="43741BD2" w14:textId="217E2C4C" w:rsidR="004A17C0" w:rsidRDefault="00815DDF" w:rsidP="00CA3D34">
      <w:pPr>
        <w:pStyle w:val="Titre2"/>
      </w:pPr>
      <w:bookmarkStart w:id="50" w:name="_Toc211239499"/>
      <w:bookmarkStart w:id="51" w:name="_Toc211503150"/>
      <w:r w:rsidRPr="00815DDF">
        <w:t>Autres professionnels du centre de DPI</w:t>
      </w:r>
      <w:bookmarkEnd w:id="50"/>
      <w:bookmarkEnd w:id="51"/>
      <w:r w:rsidR="009A3F08">
        <w:t xml:space="preserve"> </w:t>
      </w:r>
    </w:p>
    <w:p w14:paraId="7E9975B4" w14:textId="158F137A" w:rsidR="00815DDF" w:rsidRDefault="00815DDF" w:rsidP="004A17C0">
      <w:pPr>
        <w:rPr>
          <w:b/>
          <w:bCs/>
          <w:color w:val="002060"/>
        </w:rPr>
      </w:pPr>
    </w:p>
    <w:p w14:paraId="7DA2F481" w14:textId="51064AAD" w:rsidR="009A3F08" w:rsidRDefault="0037223A" w:rsidP="00530B31">
      <w:pPr>
        <w:shd w:val="clear" w:color="auto" w:fill="F2F2F2" w:themeFill="background1" w:themeFillShade="F2"/>
        <w:rPr>
          <w:i/>
          <w:iCs/>
        </w:rPr>
      </w:pPr>
      <w:r w:rsidRPr="00C35A26">
        <w:rPr>
          <w:i/>
          <w:iCs/>
        </w:rPr>
        <w:t xml:space="preserve">Donner la liste des professionnels </w:t>
      </w:r>
      <w:r w:rsidR="0021686A" w:rsidRPr="00C35A26">
        <w:rPr>
          <w:i/>
          <w:iCs/>
        </w:rPr>
        <w:t xml:space="preserve">dans l’annexe 2 </w:t>
      </w:r>
      <w:r w:rsidRPr="00C35A26">
        <w:rPr>
          <w:i/>
          <w:iCs/>
        </w:rPr>
        <w:t xml:space="preserve">impliqués dans le fonctionnement du CDPI en </w:t>
      </w:r>
      <w:r w:rsidR="009A3F08">
        <w:rPr>
          <w:i/>
          <w:iCs/>
        </w:rPr>
        <w:t>sachant que</w:t>
      </w:r>
      <w:r w:rsidR="00530B31">
        <w:rPr>
          <w:i/>
          <w:iCs/>
        </w:rPr>
        <w:t xml:space="preserve"> l</w:t>
      </w:r>
      <w:r w:rsidR="005070CF" w:rsidRPr="00C35A26">
        <w:rPr>
          <w:i/>
          <w:iCs/>
        </w:rPr>
        <w:t>e groupe des autres professionnels comporte</w:t>
      </w:r>
      <w:r w:rsidR="009A3F08">
        <w:rPr>
          <w:i/>
          <w:iCs/>
        </w:rPr>
        <w:t> :</w:t>
      </w:r>
    </w:p>
    <w:p w14:paraId="10283E28" w14:textId="34FC198A" w:rsidR="009A3F08" w:rsidRDefault="009A3F08" w:rsidP="00530B31">
      <w:pPr>
        <w:shd w:val="clear" w:color="auto" w:fill="F2F2F2" w:themeFill="background1" w:themeFillShade="F2"/>
        <w:rPr>
          <w:i/>
          <w:iCs/>
        </w:rPr>
      </w:pPr>
      <w:r>
        <w:rPr>
          <w:i/>
          <w:iCs/>
        </w:rPr>
        <w:t xml:space="preserve">- </w:t>
      </w:r>
      <w:r w:rsidR="005070CF" w:rsidRPr="00C35A26">
        <w:rPr>
          <w:i/>
          <w:iCs/>
        </w:rPr>
        <w:t xml:space="preserve">des personnels affectés à l’activité du centre (notamment secrétaire coordinatrice, sage-femmes, psychologue, conseiller en génétique), </w:t>
      </w:r>
    </w:p>
    <w:p w14:paraId="3F847B9B" w14:textId="4C147911" w:rsidR="005070CF" w:rsidRPr="00C35A26" w:rsidRDefault="009A3F08" w:rsidP="00530B31">
      <w:pPr>
        <w:shd w:val="clear" w:color="auto" w:fill="F2F2F2" w:themeFill="background1" w:themeFillShade="F2"/>
        <w:rPr>
          <w:i/>
          <w:iCs/>
        </w:rPr>
      </w:pPr>
      <w:r>
        <w:rPr>
          <w:i/>
          <w:iCs/>
        </w:rPr>
        <w:t xml:space="preserve">- </w:t>
      </w:r>
      <w:r w:rsidR="005070CF" w:rsidRPr="00C35A26">
        <w:rPr>
          <w:i/>
          <w:iCs/>
        </w:rPr>
        <w:t>des professionnels du centre clinico-biologique d’AMP (personne responsable, spécialistes en médecine et en biologie de la reproduction, médecins gynécologues ou gynécologues-obstétriciens, sage-femmes, anesthésistes, ingénieur, techniciens de laboratoire, cadre de santé…), et des laboratoires de diagnostic génétique (biologiste responsable, ingénieur, techniciens, cadre de santé…) exerçant au sein de l’établissement.</w:t>
      </w:r>
    </w:p>
    <w:p w14:paraId="45FC0ED6" w14:textId="77777777" w:rsidR="005070CF" w:rsidRPr="00C35A26" w:rsidRDefault="005070CF" w:rsidP="004A17C0">
      <w:pPr>
        <w:rPr>
          <w:i/>
          <w:iCs/>
        </w:rPr>
      </w:pPr>
    </w:p>
    <w:p w14:paraId="1B3403E3" w14:textId="77777777" w:rsidR="009A3F08" w:rsidRDefault="00815DDF" w:rsidP="004A17C0">
      <w:r w:rsidRPr="00F5008E">
        <w:t>L’ensemble du personnel travaillant dans le centre de DPI est formé sur les spécificités de l’activité de DPI.</w:t>
      </w:r>
      <w:r w:rsidR="00187D49" w:rsidRPr="00F5008E">
        <w:t xml:space="preserve"> </w:t>
      </w:r>
    </w:p>
    <w:p w14:paraId="34F3BF58" w14:textId="48754DAD" w:rsidR="00815DDF" w:rsidRPr="009A3F08" w:rsidRDefault="003C2598" w:rsidP="00F5008E">
      <w:pPr>
        <w:shd w:val="clear" w:color="auto" w:fill="F2F2F2" w:themeFill="background1" w:themeFillShade="F2"/>
        <w:rPr>
          <w:i/>
          <w:iCs/>
        </w:rPr>
      </w:pPr>
      <w:r w:rsidRPr="00F5008E">
        <w:rPr>
          <w:i/>
          <w:iCs/>
        </w:rPr>
        <w:t>Expliquer comment l</w:t>
      </w:r>
      <w:r w:rsidR="00815DDF" w:rsidRPr="003C2598">
        <w:rPr>
          <w:i/>
          <w:iCs/>
        </w:rPr>
        <w:t>a formation continue de ces professionnels est mise en œuvre et tracée.</w:t>
      </w:r>
      <w:r w:rsidRPr="00F5008E">
        <w:rPr>
          <w:i/>
          <w:iCs/>
        </w:rPr>
        <w:t xml:space="preserve"> </w:t>
      </w:r>
    </w:p>
    <w:p w14:paraId="33C43214" w14:textId="77777777" w:rsidR="00187D49" w:rsidRPr="00F5008E" w:rsidRDefault="00187D49" w:rsidP="004A17C0"/>
    <w:p w14:paraId="66BBD119" w14:textId="7ECBF38A" w:rsidR="00815DDF" w:rsidRPr="00F5008E" w:rsidRDefault="00815DDF" w:rsidP="004A17C0">
      <w:r w:rsidRPr="00F5008E">
        <w:t xml:space="preserve">L’équipe du centre de DPI s’appuie particulièrement sur les professionnels exerçant au sein du CPDPN </w:t>
      </w:r>
      <w:proofErr w:type="gramStart"/>
      <w:r w:rsidR="003C2598" w:rsidRPr="00F5008E">
        <w:rPr>
          <w:shd w:val="clear" w:color="auto" w:fill="F2F2F2" w:themeFill="background1" w:themeFillShade="F2"/>
        </w:rPr>
        <w:t>de  …</w:t>
      </w:r>
      <w:proofErr w:type="gramEnd"/>
      <w:r w:rsidR="003C2598" w:rsidRPr="00F5008E">
        <w:rPr>
          <w:shd w:val="clear" w:color="auto" w:fill="F2F2F2" w:themeFill="background1" w:themeFillShade="F2"/>
        </w:rPr>
        <w:t>………………</w:t>
      </w:r>
      <w:r w:rsidRPr="00F5008E">
        <w:t>dont l’attestation autorisera la mise en œuvre d’un DPI (généticiens).</w:t>
      </w:r>
    </w:p>
    <w:p w14:paraId="45D6D0AE" w14:textId="77777777" w:rsidR="00815DDF" w:rsidRDefault="00815DDF" w:rsidP="004A17C0"/>
    <w:p w14:paraId="627834C3" w14:textId="315B7D06" w:rsidR="004A17C0" w:rsidRDefault="008B46E7" w:rsidP="00CA3D34">
      <w:pPr>
        <w:pStyle w:val="Titre2"/>
      </w:pPr>
      <w:bookmarkStart w:id="52" w:name="_Toc211239500"/>
      <w:bookmarkStart w:id="53" w:name="_Toc211503151"/>
      <w:r w:rsidRPr="00815DDF">
        <w:t>Organisation interne du centre de DPI</w:t>
      </w:r>
      <w:bookmarkEnd w:id="52"/>
      <w:bookmarkEnd w:id="53"/>
    </w:p>
    <w:p w14:paraId="1DD81B9C" w14:textId="77777777" w:rsidR="000D7D6E" w:rsidRDefault="000D7D6E" w:rsidP="004A17C0">
      <w:pPr>
        <w:rPr>
          <w:b/>
          <w:bCs/>
          <w:color w:val="002060"/>
        </w:rPr>
      </w:pPr>
    </w:p>
    <w:p w14:paraId="635F57ED" w14:textId="77777777" w:rsidR="000D7D6E" w:rsidRDefault="000D7D6E" w:rsidP="004A17C0">
      <w:r>
        <w:t xml:space="preserve">Les trois composantes (AMP, diagnostic cytogénétique, y compris moléculaire, et diagnostic génétique moléculaire sur la ou les cellules embryonnaires) sont bien identifiées </w:t>
      </w:r>
    </w:p>
    <w:p w14:paraId="7396D3DD" w14:textId="5731D125" w:rsidR="000D7D6E" w:rsidRPr="00815DDF" w:rsidRDefault="000D7D6E" w:rsidP="004A17C0">
      <w:pPr>
        <w:rPr>
          <w:b/>
          <w:bCs/>
          <w:color w:val="002060"/>
        </w:rPr>
      </w:pPr>
      <w:r>
        <w:t xml:space="preserve">Un organigramme est disponible, représentant l’organisation globale du CDPI (annexe </w:t>
      </w:r>
      <w:r w:rsidR="001832B8">
        <w:t>4</w:t>
      </w:r>
      <w:r>
        <w:t>)</w:t>
      </w:r>
      <w:r w:rsidR="00B758B4">
        <w:t>.</w:t>
      </w:r>
    </w:p>
    <w:p w14:paraId="667BB23A" w14:textId="77089DD9" w:rsidR="000D7D6E" w:rsidRDefault="000D7D6E" w:rsidP="004A17C0"/>
    <w:p w14:paraId="209C8366" w14:textId="2F699362" w:rsidR="001832B8" w:rsidRDefault="001832B8" w:rsidP="004A17C0"/>
    <w:p w14:paraId="0047DA57" w14:textId="5F8FF6DF" w:rsidR="001832B8" w:rsidRDefault="001832B8" w:rsidP="004A17C0"/>
    <w:p w14:paraId="30FEBCDB" w14:textId="77777777" w:rsidR="001832B8" w:rsidRDefault="001832B8" w:rsidP="004A17C0"/>
    <w:p w14:paraId="6EB96390" w14:textId="77777777" w:rsidR="001832B8" w:rsidRDefault="001832B8" w:rsidP="004A17C0"/>
    <w:p w14:paraId="411AE5DD" w14:textId="56570CE9" w:rsidR="000D7D6E" w:rsidRDefault="000D7D6E" w:rsidP="00CA3D34">
      <w:pPr>
        <w:pStyle w:val="Titre2"/>
      </w:pPr>
      <w:bookmarkStart w:id="54" w:name="_Toc211239501"/>
      <w:bookmarkStart w:id="55" w:name="_Toc211503152"/>
      <w:r w:rsidRPr="000D7D6E">
        <w:t>Coordonnateur</w:t>
      </w:r>
      <w:r>
        <w:rPr>
          <w:rStyle w:val="Appelnotedebasdep"/>
          <w:bCs/>
          <w:color w:val="002060"/>
        </w:rPr>
        <w:footnoteReference w:id="6"/>
      </w:r>
      <w:bookmarkEnd w:id="54"/>
      <w:bookmarkEnd w:id="55"/>
    </w:p>
    <w:p w14:paraId="40A92810" w14:textId="58AA4732" w:rsidR="000D7D6E" w:rsidRDefault="000D7D6E" w:rsidP="004A17C0"/>
    <w:p w14:paraId="764EC6E4" w14:textId="28DA575D" w:rsidR="008B005D" w:rsidRDefault="008B005D" w:rsidP="008B005D">
      <w:r w:rsidRPr="008B005D">
        <w:t>Selon l’article R2131-30 les membres de l'équipe du centre de diagnostic préimplantatoire désignent parmi eux et pour une durée de deux ans renouvelable un coordonnateur chargé de veiller à l'organisation des activités du centre et notamment à la concertation entre les praticiens agrées et les autres membres de l'équipe.</w:t>
      </w:r>
    </w:p>
    <w:p w14:paraId="5B56588F" w14:textId="1A90549F" w:rsidR="008B005D" w:rsidRDefault="008B005D" w:rsidP="008B005D"/>
    <w:p w14:paraId="7A5BC214" w14:textId="2D31567A" w:rsidR="008B005D" w:rsidRPr="00160F8B" w:rsidRDefault="008B005D" w:rsidP="008B005D">
      <w:pPr>
        <w:shd w:val="clear" w:color="auto" w:fill="F2F2F2" w:themeFill="background1" w:themeFillShade="F2"/>
        <w:rPr>
          <w:i/>
          <w:iCs/>
        </w:rPr>
      </w:pPr>
      <w:r>
        <w:rPr>
          <w:i/>
          <w:iCs/>
        </w:rPr>
        <w:t>M</w:t>
      </w:r>
      <w:r w:rsidRPr="00160F8B">
        <w:rPr>
          <w:i/>
          <w:iCs/>
        </w:rPr>
        <w:t>entionner les modalités</w:t>
      </w:r>
      <w:r>
        <w:rPr>
          <w:i/>
          <w:iCs/>
        </w:rPr>
        <w:t xml:space="preserve">, spécifiques au centre, </w:t>
      </w:r>
      <w:r w:rsidRPr="00160F8B">
        <w:rPr>
          <w:i/>
          <w:iCs/>
        </w:rPr>
        <w:t xml:space="preserve">de désignation du coordonnateur (et éventuellement du </w:t>
      </w:r>
      <w:proofErr w:type="spellStart"/>
      <w:r w:rsidRPr="00160F8B">
        <w:rPr>
          <w:i/>
          <w:iCs/>
        </w:rPr>
        <w:t>co</w:t>
      </w:r>
      <w:proofErr w:type="spellEnd"/>
      <w:r w:rsidRPr="00160F8B">
        <w:rPr>
          <w:i/>
          <w:iCs/>
        </w:rPr>
        <w:t>-coordonnateur)</w:t>
      </w:r>
      <w:r>
        <w:rPr>
          <w:i/>
          <w:iCs/>
        </w:rPr>
        <w:t xml:space="preserve"> ainsi que de son suppléant</w:t>
      </w:r>
      <w:r w:rsidR="001832B8">
        <w:rPr>
          <w:i/>
          <w:iCs/>
        </w:rPr>
        <w:t>.</w:t>
      </w:r>
    </w:p>
    <w:p w14:paraId="177A3716" w14:textId="77777777" w:rsidR="008B005D" w:rsidRDefault="008B005D" w:rsidP="004A17C0"/>
    <w:p w14:paraId="2316CE9B" w14:textId="77222C87" w:rsidR="000D7D6E" w:rsidRDefault="000D7D6E" w:rsidP="000D7D6E">
      <w:r w:rsidRPr="007C5A28">
        <w:t>Le coordonnateur du C</w:t>
      </w:r>
      <w:r>
        <w:t>DPI</w:t>
      </w:r>
      <w:r w:rsidRPr="007C5A28">
        <w:t xml:space="preserve"> de </w:t>
      </w:r>
      <w:r>
        <w:t>……………………………………</w:t>
      </w:r>
      <w:r w:rsidRPr="007C5A28">
        <w:t xml:space="preserve"> est le Dr </w:t>
      </w:r>
      <w:r>
        <w:t>…………………..</w:t>
      </w:r>
      <w:r w:rsidRPr="007C5A28">
        <w:t>. Il a été désigné le</w:t>
      </w:r>
      <w:r>
        <w:t xml:space="preserve"> ……………………</w:t>
      </w:r>
      <w:proofErr w:type="gramStart"/>
      <w:r>
        <w:t>…….</w:t>
      </w:r>
      <w:proofErr w:type="gramEnd"/>
      <w:r>
        <w:t>.</w:t>
      </w:r>
    </w:p>
    <w:p w14:paraId="33B12827" w14:textId="199C92EE" w:rsidR="000D7D6E" w:rsidRDefault="000D7D6E" w:rsidP="000D7D6E">
      <w:r w:rsidRPr="001E40E6">
        <w:t>Le suppléant (à préciser le cas échéant) est le Dr …………………………</w:t>
      </w:r>
      <w:r>
        <w:t>…</w:t>
      </w:r>
      <w:proofErr w:type="gramStart"/>
      <w:r>
        <w:t>…….</w:t>
      </w:r>
      <w:proofErr w:type="gramEnd"/>
      <w:r>
        <w:t>.</w:t>
      </w:r>
      <w:r w:rsidRPr="001E40E6">
        <w:t>Il a été désigné le</w:t>
      </w:r>
      <w:r>
        <w:t xml:space="preserve">    ……………………</w:t>
      </w:r>
    </w:p>
    <w:p w14:paraId="68291421" w14:textId="77777777" w:rsidR="008B005D" w:rsidRDefault="008B005D" w:rsidP="000D7D6E"/>
    <w:p w14:paraId="201CBE7E" w14:textId="77777777" w:rsidR="000D7D6E" w:rsidRDefault="000D7D6E" w:rsidP="000D7D6E">
      <w:r>
        <w:t xml:space="preserve">Le coordonnateur : </w:t>
      </w:r>
    </w:p>
    <w:p w14:paraId="4CE0D6A7" w14:textId="4F08B678" w:rsidR="008B005D" w:rsidRDefault="000D7D6E" w:rsidP="000D7D6E">
      <w:r>
        <w:t xml:space="preserve">– veille à l’application du règlement intérieur ; </w:t>
      </w:r>
    </w:p>
    <w:p w14:paraId="50131CED" w14:textId="206E13E0" w:rsidR="000D7D6E" w:rsidRDefault="000D7D6E" w:rsidP="000D7D6E">
      <w:r>
        <w:t>– est responsable de l’organisation et de la coordination des activités du CDPI</w:t>
      </w:r>
      <w:r w:rsidR="00262A13">
        <w:t> ;</w:t>
      </w:r>
    </w:p>
    <w:p w14:paraId="2249383F" w14:textId="09A4AC6F" w:rsidR="008B005D" w:rsidRDefault="008B005D" w:rsidP="000D7D6E">
      <w:r>
        <w:t xml:space="preserve">– veille à la concertation entre les praticiens agréés et les autres membres de l’équipe ; </w:t>
      </w:r>
    </w:p>
    <w:p w14:paraId="0077A940" w14:textId="77777777" w:rsidR="008B005D" w:rsidRPr="003E4A70" w:rsidRDefault="008B005D" w:rsidP="000D7D6E">
      <w:r>
        <w:t xml:space="preserve">– est en charge, en lien avec les autres praticiens, de l’ensemble des données du rapport annuel </w:t>
      </w:r>
      <w:r w:rsidRPr="003E4A70">
        <w:t xml:space="preserve">d’activité ; </w:t>
      </w:r>
    </w:p>
    <w:p w14:paraId="1996465E" w14:textId="34709A14" w:rsidR="008B005D" w:rsidRPr="003E4A70" w:rsidRDefault="008B005D" w:rsidP="008B005D">
      <w:r w:rsidRPr="003E4A70">
        <w:t>– peut faire le lien avec l’Agence de la biomédecine et la direction de son établissement pour ce qui relève des enjeux administratifs</w:t>
      </w:r>
      <w:r w:rsidR="00262A13">
        <w:t> ;</w:t>
      </w:r>
    </w:p>
    <w:p w14:paraId="2BEB9410" w14:textId="043BF8FC" w:rsidR="008B005D" w:rsidRDefault="00155B68" w:rsidP="008B005D">
      <w:r w:rsidRPr="003E4A70">
        <w:t>- veille à</w:t>
      </w:r>
      <w:r w:rsidR="008B005D" w:rsidRPr="003E4A70">
        <w:t xml:space="preserve"> au respect des dispositions législatives et réglementaires, notamment celles relatives à la qualité, la sécurité et la traçabilité des gamètes, des embryons</w:t>
      </w:r>
      <w:r w:rsidR="008B005D">
        <w:t xml:space="preserve"> et des biopsies embryonnaires.</w:t>
      </w:r>
    </w:p>
    <w:p w14:paraId="024F157F" w14:textId="77777777" w:rsidR="008B005D" w:rsidRDefault="008B005D" w:rsidP="000D7D6E"/>
    <w:p w14:paraId="0FE65E55" w14:textId="2AF71E1D" w:rsidR="000D7D6E" w:rsidRPr="007003DF" w:rsidRDefault="000D7D6E" w:rsidP="007003DF">
      <w:pPr>
        <w:pStyle w:val="Titre2"/>
      </w:pPr>
      <w:bookmarkStart w:id="56" w:name="_Toc211503153"/>
      <w:bookmarkStart w:id="57" w:name="_Hlk209701277"/>
      <w:r w:rsidRPr="007003DF">
        <w:t>Personne Responsable</w:t>
      </w:r>
      <w:r w:rsidR="00155B68" w:rsidRPr="007003DF">
        <w:t xml:space="preserve"> (PR)</w:t>
      </w:r>
      <w:bookmarkEnd w:id="56"/>
    </w:p>
    <w:p w14:paraId="65F10916" w14:textId="6AF67ACA" w:rsidR="008B005D" w:rsidRDefault="008B005D" w:rsidP="004A17C0">
      <w:pPr>
        <w:rPr>
          <w:b/>
          <w:bCs/>
          <w:color w:val="002060"/>
        </w:rPr>
      </w:pPr>
    </w:p>
    <w:p w14:paraId="21014314" w14:textId="02A9D8C8" w:rsidR="00155B68" w:rsidRDefault="00155B68" w:rsidP="004A17C0">
      <w:r>
        <w:t>La PR du centre AMP réalisant la biopsie embryonnaire est désignée conformément aux recommandations de bonnes pratiques en AMP </w:t>
      </w:r>
    </w:p>
    <w:p w14:paraId="4B22ED0E" w14:textId="1BA06FFF" w:rsidR="00155B68" w:rsidRDefault="00155B68" w:rsidP="00155B68">
      <w:pPr>
        <w:shd w:val="clear" w:color="auto" w:fill="F2F2F2" w:themeFill="background1" w:themeFillShade="F2"/>
      </w:pPr>
      <w:r w:rsidRPr="00155B68">
        <w:rPr>
          <w:i/>
          <w:iCs/>
        </w:rPr>
        <w:t>Préciser nom, fonction et date de désignations</w:t>
      </w:r>
    </w:p>
    <w:p w14:paraId="0771220D" w14:textId="230B3EB4" w:rsidR="008B005D" w:rsidRPr="00014C9A" w:rsidRDefault="008B005D" w:rsidP="004A17C0">
      <w:r w:rsidRPr="00014C9A">
        <w:t xml:space="preserve">La personne </w:t>
      </w:r>
      <w:r w:rsidR="00155B68" w:rsidRPr="00014C9A">
        <w:t>responsable</w:t>
      </w:r>
      <w:r w:rsidRPr="00014C9A">
        <w:t xml:space="preserve"> titulaire est …………………………………</w:t>
      </w:r>
      <w:proofErr w:type="gramStart"/>
      <w:r w:rsidRPr="00014C9A">
        <w:t>…….</w:t>
      </w:r>
      <w:proofErr w:type="gramEnd"/>
      <w:r w:rsidRPr="00014C9A">
        <w:t>.</w:t>
      </w:r>
    </w:p>
    <w:p w14:paraId="43A8309C" w14:textId="3D48DD9E" w:rsidR="00155B68" w:rsidRDefault="008B005D" w:rsidP="00014C9A">
      <w:r w:rsidRPr="00014C9A">
        <w:t xml:space="preserve">La </w:t>
      </w:r>
      <w:r w:rsidR="00155B68" w:rsidRPr="00014C9A">
        <w:t xml:space="preserve">personne responsable </w:t>
      </w:r>
      <w:r w:rsidR="00C51267" w:rsidRPr="00014C9A">
        <w:t>suppléantes</w:t>
      </w:r>
      <w:r w:rsidR="00155B68" w:rsidRPr="00014C9A">
        <w:t xml:space="preserve"> est </w:t>
      </w:r>
      <w:r w:rsidR="00014C9A" w:rsidRPr="00014C9A">
        <w:t>……………………………….</w:t>
      </w:r>
    </w:p>
    <w:bookmarkEnd w:id="57"/>
    <w:p w14:paraId="45A5BF5B" w14:textId="77777777" w:rsidR="00014C9A" w:rsidRDefault="00014C9A" w:rsidP="00014C9A"/>
    <w:p w14:paraId="5C55259F" w14:textId="03490F5B" w:rsidR="00014C9A" w:rsidRDefault="00014C9A" w:rsidP="00014C9A">
      <w:r>
        <w:t xml:space="preserve">La </w:t>
      </w:r>
      <w:r w:rsidRPr="00155B68">
        <w:t>P</w:t>
      </w:r>
      <w:r>
        <w:t>R</w:t>
      </w:r>
      <w:r w:rsidRPr="00155B68">
        <w:t xml:space="preserve"> </w:t>
      </w:r>
      <w:r>
        <w:t>au sein du CDPI :</w:t>
      </w:r>
    </w:p>
    <w:p w14:paraId="49912292" w14:textId="77777777" w:rsidR="00014C9A" w:rsidRDefault="00014C9A" w:rsidP="00014C9A">
      <w:r>
        <w:t>- veille au respect des dispositions législatives et réglementaires, notamment celles relatives à la qualité, la sécurité et la traçabilité des gamètes, des embryons et des biopsies embryonnaires.</w:t>
      </w:r>
    </w:p>
    <w:p w14:paraId="5FE824C3" w14:textId="77777777" w:rsidR="00014C9A" w:rsidRDefault="00014C9A" w:rsidP="00014C9A">
      <w:r>
        <w:t>- est informée de tout évènement indésirable grave survenant lors de la réalisation d’un DPI, incluant les erreurs de diagnostic.</w:t>
      </w:r>
    </w:p>
    <w:p w14:paraId="16EEA5A3" w14:textId="4797EB87" w:rsidR="00014C9A" w:rsidRDefault="00014C9A" w:rsidP="00014C9A"/>
    <w:p w14:paraId="2A338172" w14:textId="7AC3E97D" w:rsidR="00647E67" w:rsidRDefault="00647E67" w:rsidP="00014C9A"/>
    <w:p w14:paraId="50573C4B" w14:textId="7D6E539D" w:rsidR="00647E67" w:rsidRPr="007003DF" w:rsidRDefault="00647E67" w:rsidP="007003DF">
      <w:pPr>
        <w:pStyle w:val="Titre2"/>
      </w:pPr>
      <w:bookmarkStart w:id="58" w:name="_Toc211503154"/>
      <w:bookmarkStart w:id="59" w:name="_Hlk209701309"/>
      <w:r w:rsidRPr="007003DF">
        <w:t>Correspondant local d’AMP vigilance (CLA)</w:t>
      </w:r>
      <w:bookmarkEnd w:id="58"/>
      <w:r w:rsidRPr="007003DF">
        <w:t xml:space="preserve"> </w:t>
      </w:r>
    </w:p>
    <w:bookmarkEnd w:id="59"/>
    <w:p w14:paraId="59E62E2A" w14:textId="1C17C5F0" w:rsidR="004B7B7D" w:rsidRDefault="004B7B7D" w:rsidP="004B7B7D"/>
    <w:p w14:paraId="4D164451" w14:textId="77777777" w:rsidR="004B7B7D" w:rsidRDefault="004B7B7D" w:rsidP="004B7B7D">
      <w:pPr>
        <w:shd w:val="clear" w:color="auto" w:fill="F2F2F2" w:themeFill="background1" w:themeFillShade="F2"/>
      </w:pPr>
      <w:r w:rsidRPr="00155B68">
        <w:rPr>
          <w:i/>
          <w:iCs/>
        </w:rPr>
        <w:t>Préciser nom, fonction et date de désignations</w:t>
      </w:r>
    </w:p>
    <w:p w14:paraId="5711487A" w14:textId="77777777" w:rsidR="004B7B7D" w:rsidRDefault="004B7B7D" w:rsidP="004B7B7D"/>
    <w:p w14:paraId="5A58B4A5" w14:textId="6B580EC9" w:rsidR="004B7B7D" w:rsidRPr="004B7B7D" w:rsidRDefault="004B7B7D" w:rsidP="004B7B7D">
      <w:pPr>
        <w:rPr>
          <w:highlight w:val="yellow"/>
        </w:rPr>
      </w:pPr>
      <w:r>
        <w:t xml:space="preserve">Le </w:t>
      </w:r>
      <w:r w:rsidRPr="004B7B7D">
        <w:t>CLA</w:t>
      </w:r>
      <w:r>
        <w:t xml:space="preserve"> </w:t>
      </w:r>
      <w:r w:rsidRPr="00014C9A">
        <w:t>titulaire est …………………………………</w:t>
      </w:r>
      <w:proofErr w:type="gramStart"/>
      <w:r w:rsidRPr="00014C9A">
        <w:t>…….</w:t>
      </w:r>
      <w:proofErr w:type="gramEnd"/>
      <w:r w:rsidRPr="00014C9A">
        <w:t>.</w:t>
      </w:r>
    </w:p>
    <w:p w14:paraId="18171049" w14:textId="3CF4FEA2" w:rsidR="004B7B7D" w:rsidRDefault="004B7B7D" w:rsidP="004B7B7D">
      <w:r>
        <w:t xml:space="preserve">Le </w:t>
      </w:r>
      <w:r w:rsidRPr="004B7B7D">
        <w:t>CLA</w:t>
      </w:r>
      <w:r w:rsidRPr="00014C9A">
        <w:t xml:space="preserve"> suppléantes est ……………………………….</w:t>
      </w:r>
    </w:p>
    <w:p w14:paraId="501260BA" w14:textId="77777777" w:rsidR="00647E67" w:rsidRPr="00AE419C" w:rsidRDefault="00647E67" w:rsidP="00647E67"/>
    <w:p w14:paraId="2032114B" w14:textId="6B0A7103" w:rsidR="0051121C" w:rsidRDefault="004B7B7D" w:rsidP="00BD7F4E">
      <w:r w:rsidRPr="00AE419C">
        <w:t xml:space="preserve">Les </w:t>
      </w:r>
      <w:r w:rsidR="00647E67" w:rsidRPr="00AE419C">
        <w:t xml:space="preserve">modalités de signalement d’évènements de vigilance à ce correspondant </w:t>
      </w:r>
      <w:r w:rsidRPr="00AE419C">
        <w:t>sont évoqués dans l’article</w:t>
      </w:r>
      <w:proofErr w:type="gramStart"/>
      <w:r w:rsidR="00AE419C" w:rsidRPr="00AE419C">
        <w:t> ….</w:t>
      </w:r>
      <w:proofErr w:type="gramEnd"/>
      <w:r w:rsidRPr="00AE419C">
        <w:t>…..</w:t>
      </w:r>
      <w:bookmarkStart w:id="60" w:name="_Toc178266343"/>
      <w:bookmarkStart w:id="61" w:name="_Toc178284958"/>
    </w:p>
    <w:p w14:paraId="0A9E67B8" w14:textId="26338017" w:rsidR="001832B8" w:rsidRDefault="001832B8" w:rsidP="00BD7F4E"/>
    <w:p w14:paraId="20C5C5C1" w14:textId="77777777" w:rsidR="001832B8" w:rsidRPr="00AE419C" w:rsidRDefault="001832B8" w:rsidP="00BD7F4E"/>
    <w:p w14:paraId="1F5CA110" w14:textId="5CDA905E" w:rsidR="0051121C" w:rsidRPr="00AE419C" w:rsidRDefault="0051121C" w:rsidP="00BD7F4E"/>
    <w:p w14:paraId="67CBC4B6" w14:textId="002527E5" w:rsidR="0051121C" w:rsidRDefault="0051121C" w:rsidP="0051121C">
      <w:pPr>
        <w:pStyle w:val="Titre1"/>
      </w:pPr>
      <w:bookmarkStart w:id="62" w:name="_Toc211239502"/>
      <w:bookmarkStart w:id="63" w:name="_Toc211503155"/>
      <w:r w:rsidRPr="00AE419C">
        <w:lastRenderedPageBreak/>
        <w:t>ARTICLE 4 : ORGANISATION</w:t>
      </w:r>
      <w:r>
        <w:t xml:space="preserve"> GENERALE DU CENTRE</w:t>
      </w:r>
      <w:bookmarkEnd w:id="62"/>
      <w:bookmarkEnd w:id="63"/>
    </w:p>
    <w:p w14:paraId="21A77E2C" w14:textId="3D1706D7" w:rsidR="00A75E2C" w:rsidRPr="00A75E2C" w:rsidRDefault="00A75E2C" w:rsidP="00A75E2C"/>
    <w:p w14:paraId="031044D6" w14:textId="592D31C0" w:rsidR="00606409" w:rsidRPr="004B1FE3" w:rsidRDefault="001832B8" w:rsidP="004B1FE3">
      <w:pPr>
        <w:shd w:val="clear" w:color="auto" w:fill="F2F2F2" w:themeFill="background1" w:themeFillShade="F2"/>
        <w:rPr>
          <w:i/>
          <w:iCs/>
        </w:rPr>
      </w:pPr>
      <w:r>
        <w:rPr>
          <w:i/>
          <w:iCs/>
        </w:rPr>
        <w:t>Listes les c</w:t>
      </w:r>
      <w:r w:rsidR="00D915F9">
        <w:rPr>
          <w:i/>
          <w:iCs/>
        </w:rPr>
        <w:t>onvention</w:t>
      </w:r>
      <w:r>
        <w:rPr>
          <w:i/>
          <w:iCs/>
        </w:rPr>
        <w:t xml:space="preserve">s formalisant le </w:t>
      </w:r>
      <w:r w:rsidR="00606409" w:rsidRPr="004B1FE3">
        <w:rPr>
          <w:i/>
          <w:iCs/>
        </w:rPr>
        <w:t>relations avec les établissements et structures associé</w:t>
      </w:r>
      <w:r>
        <w:rPr>
          <w:i/>
          <w:iCs/>
        </w:rPr>
        <w:t>e</w:t>
      </w:r>
      <w:r w:rsidR="00606409" w:rsidRPr="004B1FE3">
        <w:rPr>
          <w:i/>
          <w:iCs/>
        </w:rPr>
        <w:t xml:space="preserve">s (centres clinico-biologiques d’AMP, services et laboratoires de génétique médicale et biologique, CPDPN) </w:t>
      </w:r>
      <w:r>
        <w:rPr>
          <w:i/>
          <w:iCs/>
        </w:rPr>
        <w:t>(annexe 5)</w:t>
      </w:r>
    </w:p>
    <w:p w14:paraId="0D7745DC" w14:textId="77B4B16C" w:rsidR="004B1FE3" w:rsidRDefault="00AE419C" w:rsidP="005B69FC">
      <w:pPr>
        <w:pStyle w:val="Titre1"/>
      </w:pPr>
      <w:bookmarkStart w:id="64" w:name="_Toc211239503"/>
      <w:bookmarkStart w:id="65" w:name="_Toc211503156"/>
      <w:r>
        <w:t>L’assistance médicale à la procréation</w:t>
      </w:r>
      <w:bookmarkEnd w:id="64"/>
      <w:bookmarkEnd w:id="65"/>
    </w:p>
    <w:p w14:paraId="6A07831A" w14:textId="77777777" w:rsidR="00C722DF" w:rsidRPr="00C722DF" w:rsidRDefault="00C722DF" w:rsidP="00C722DF"/>
    <w:p w14:paraId="0518E3E3" w14:textId="3F56BF79" w:rsidR="00AE419C" w:rsidRDefault="00AE419C" w:rsidP="00CA3D34">
      <w:pPr>
        <w:pStyle w:val="Titre2"/>
      </w:pPr>
      <w:bookmarkStart w:id="66" w:name="_Toc211239504"/>
      <w:bookmarkStart w:id="67" w:name="_Toc211503157"/>
      <w:r>
        <w:t>AMP Clinique</w:t>
      </w:r>
      <w:bookmarkEnd w:id="66"/>
      <w:bookmarkEnd w:id="67"/>
      <w:r w:rsidR="00BA2F96">
        <w:t xml:space="preserve"> </w:t>
      </w:r>
    </w:p>
    <w:p w14:paraId="7A9EC114" w14:textId="16DE2846" w:rsidR="00C722DF" w:rsidRDefault="00C722DF" w:rsidP="00C722DF"/>
    <w:p w14:paraId="33B16DF4" w14:textId="1EE95EB4" w:rsidR="00BA2F96" w:rsidRPr="00BA2F96" w:rsidRDefault="00BA2F96" w:rsidP="00BA2F96">
      <w:pPr>
        <w:shd w:val="clear" w:color="auto" w:fill="F2F2F2" w:themeFill="background1" w:themeFillShade="F2"/>
        <w:rPr>
          <w:i/>
          <w:iCs/>
        </w:rPr>
      </w:pPr>
      <w:r w:rsidRPr="00BA2F96">
        <w:rPr>
          <w:i/>
          <w:iCs/>
        </w:rPr>
        <w:t xml:space="preserve">Préciser </w:t>
      </w:r>
      <w:r>
        <w:rPr>
          <w:i/>
          <w:iCs/>
        </w:rPr>
        <w:t>l’</w:t>
      </w:r>
      <w:r w:rsidRPr="00BA2F96">
        <w:rPr>
          <w:i/>
          <w:iCs/>
        </w:rPr>
        <w:t>organisation</w:t>
      </w:r>
      <w:r w:rsidR="0021686A">
        <w:rPr>
          <w:i/>
          <w:iCs/>
        </w:rPr>
        <w:t xml:space="preserve"> spécifique au </w:t>
      </w:r>
      <w:r w:rsidR="00275267">
        <w:rPr>
          <w:i/>
          <w:iCs/>
        </w:rPr>
        <w:t xml:space="preserve">centre </w:t>
      </w:r>
      <w:r w:rsidR="00275267" w:rsidRPr="00BA2F96">
        <w:rPr>
          <w:i/>
          <w:iCs/>
        </w:rPr>
        <w:t>en</w:t>
      </w:r>
      <w:r w:rsidR="0037223A">
        <w:rPr>
          <w:i/>
          <w:iCs/>
        </w:rPr>
        <w:t xml:space="preserve"> prenant en compte les éléments suivants </w:t>
      </w:r>
    </w:p>
    <w:p w14:paraId="63BBB8E7" w14:textId="77777777" w:rsidR="00BA2F96" w:rsidRDefault="00BA2F96" w:rsidP="00C722DF"/>
    <w:p w14:paraId="3306D40E" w14:textId="044DE270" w:rsidR="00C722DF" w:rsidRPr="003C2598" w:rsidRDefault="00C722DF" w:rsidP="003C2598">
      <w:pPr>
        <w:shd w:val="clear" w:color="auto" w:fill="F2F2F2" w:themeFill="background1" w:themeFillShade="F2"/>
        <w:rPr>
          <w:i/>
          <w:iCs/>
        </w:rPr>
      </w:pPr>
      <w:r w:rsidRPr="003C2598">
        <w:rPr>
          <w:i/>
          <w:iCs/>
        </w:rPr>
        <w:t>Le clinicien du centre clinico-biologique d’AMP du CDPI au sein duquel sera effectuée la ponction ovocytaire en vue de la fécondation in vitro ultérieure a la responsabilité de :</w:t>
      </w:r>
    </w:p>
    <w:p w14:paraId="23EC12DE" w14:textId="317CF385" w:rsidR="00C722DF" w:rsidRPr="003C2598" w:rsidRDefault="00C722DF" w:rsidP="003C2598">
      <w:pPr>
        <w:shd w:val="clear" w:color="auto" w:fill="F2F2F2" w:themeFill="background1" w:themeFillShade="F2"/>
        <w:rPr>
          <w:i/>
          <w:iCs/>
        </w:rPr>
      </w:pPr>
      <w:r w:rsidRPr="003C2598">
        <w:rPr>
          <w:i/>
          <w:iCs/>
        </w:rPr>
        <w:t>- La prescription des examens biologiques habituellement réalisés avant toute tentative d’AMP</w:t>
      </w:r>
    </w:p>
    <w:p w14:paraId="5F7DE9EA" w14:textId="77777777" w:rsidR="00C722DF" w:rsidRPr="003C2598" w:rsidRDefault="00C722DF" w:rsidP="003C2598">
      <w:pPr>
        <w:shd w:val="clear" w:color="auto" w:fill="F2F2F2" w:themeFill="background1" w:themeFillShade="F2"/>
        <w:rPr>
          <w:i/>
          <w:iCs/>
        </w:rPr>
      </w:pPr>
      <w:r w:rsidRPr="003C2598">
        <w:rPr>
          <w:i/>
          <w:iCs/>
        </w:rPr>
        <w:t xml:space="preserve">- De la stimulation ovarienne </w:t>
      </w:r>
    </w:p>
    <w:p w14:paraId="62A4964A" w14:textId="77777777" w:rsidR="00C722DF" w:rsidRPr="003C2598" w:rsidRDefault="00C722DF" w:rsidP="003C2598">
      <w:pPr>
        <w:shd w:val="clear" w:color="auto" w:fill="F2F2F2" w:themeFill="background1" w:themeFillShade="F2"/>
        <w:rPr>
          <w:i/>
          <w:iCs/>
        </w:rPr>
      </w:pPr>
    </w:p>
    <w:p w14:paraId="3AF48D9F" w14:textId="3CCDE36E" w:rsidR="00C722DF" w:rsidRPr="00C35A26" w:rsidRDefault="00C722DF" w:rsidP="003C2598">
      <w:pPr>
        <w:shd w:val="clear" w:color="auto" w:fill="F2F2F2" w:themeFill="background1" w:themeFillShade="F2"/>
        <w:rPr>
          <w:i/>
          <w:iCs/>
        </w:rPr>
      </w:pPr>
      <w:r w:rsidRPr="003C2598">
        <w:rPr>
          <w:i/>
          <w:iCs/>
        </w:rPr>
        <w:t>En cas de stimulation dans centre AMP extérieur proche du lieu de vie du couple ou de la femme non mariée, c’est le CDPI</w:t>
      </w:r>
      <w:r w:rsidRPr="00C35A26">
        <w:rPr>
          <w:i/>
          <w:iCs/>
        </w:rPr>
        <w:t xml:space="preserve"> qui assure la coordination avec le centre d’AMP extérieur ; ce dernier </w:t>
      </w:r>
      <w:r w:rsidR="00275267" w:rsidRPr="00C35A26">
        <w:rPr>
          <w:i/>
          <w:iCs/>
        </w:rPr>
        <w:t>transmet</w:t>
      </w:r>
      <w:r w:rsidRPr="00C35A26">
        <w:rPr>
          <w:i/>
          <w:iCs/>
        </w:rPr>
        <w:t xml:space="preserve"> les informations relatives à la stimulation, permettant au CDPI d’effectuer le monitorage.</w:t>
      </w:r>
    </w:p>
    <w:p w14:paraId="6DA73C90" w14:textId="77777777" w:rsidR="00C722DF" w:rsidRDefault="00C722DF" w:rsidP="00C722DF"/>
    <w:p w14:paraId="2621D3D6" w14:textId="77777777" w:rsidR="00BA2F96" w:rsidRPr="00FF0C04" w:rsidRDefault="00BA2F96" w:rsidP="00FF0C04"/>
    <w:p w14:paraId="005E0ADD" w14:textId="182079D7" w:rsidR="00AE419C" w:rsidRDefault="00AE419C" w:rsidP="00CA3D34">
      <w:pPr>
        <w:pStyle w:val="Titre2"/>
      </w:pPr>
      <w:bookmarkStart w:id="68" w:name="_Toc211239505"/>
      <w:bookmarkStart w:id="69" w:name="_Toc211503158"/>
      <w:r>
        <w:t>AMP biologique</w:t>
      </w:r>
      <w:bookmarkEnd w:id="68"/>
      <w:bookmarkEnd w:id="69"/>
    </w:p>
    <w:p w14:paraId="30EEF82F" w14:textId="5AB3FD10" w:rsidR="00BA2F96" w:rsidRDefault="00BA2F96" w:rsidP="00BA2F96"/>
    <w:p w14:paraId="46002E6C" w14:textId="35630F0D" w:rsidR="00BA2F96" w:rsidRDefault="00BA2F96" w:rsidP="00BA2F96">
      <w:bookmarkStart w:id="70" w:name="_Toc211239506"/>
      <w:bookmarkStart w:id="71" w:name="_Toc211503159"/>
      <w:r w:rsidRPr="00BA2F96">
        <w:rPr>
          <w:rStyle w:val="Titre3Car"/>
        </w:rPr>
        <w:t>La fécondation in vitro et la culture embryonnaire</w:t>
      </w:r>
      <w:bookmarkEnd w:id="70"/>
      <w:bookmarkEnd w:id="71"/>
      <w:r>
        <w:t xml:space="preserve"> sont réalisées dans le CDPI en se conformant aux règles de bonnes pratiques cliniques et biologiques d’AMP.</w:t>
      </w:r>
    </w:p>
    <w:p w14:paraId="34454794" w14:textId="77777777" w:rsidR="003C2598" w:rsidRDefault="003C2598" w:rsidP="00BA2F96"/>
    <w:p w14:paraId="581B5AB3" w14:textId="2190E5A6" w:rsidR="00C86F4B" w:rsidRPr="00C86F4B" w:rsidRDefault="00C86F4B" w:rsidP="00C86F4B">
      <w:pPr>
        <w:shd w:val="clear" w:color="auto" w:fill="F2F2F2" w:themeFill="background1" w:themeFillShade="F2"/>
        <w:rPr>
          <w:i/>
          <w:iCs/>
        </w:rPr>
      </w:pPr>
      <w:r w:rsidRPr="00C86F4B">
        <w:rPr>
          <w:i/>
          <w:iCs/>
        </w:rPr>
        <w:t xml:space="preserve">Décrire quelles étapes </w:t>
      </w:r>
      <w:proofErr w:type="gramStart"/>
      <w:r w:rsidRPr="00C86F4B">
        <w:rPr>
          <w:i/>
          <w:iCs/>
        </w:rPr>
        <w:t>peuvent</w:t>
      </w:r>
      <w:proofErr w:type="gramEnd"/>
      <w:r w:rsidRPr="00C86F4B">
        <w:rPr>
          <w:i/>
          <w:iCs/>
        </w:rPr>
        <w:t xml:space="preserve"> être faites en centre AMP extérieur au CDPI</w:t>
      </w:r>
      <w:r w:rsidR="0021686A">
        <w:rPr>
          <w:i/>
          <w:iCs/>
        </w:rPr>
        <w:t> </w:t>
      </w:r>
      <w:r w:rsidR="00530B31">
        <w:rPr>
          <w:i/>
          <w:iCs/>
        </w:rPr>
        <w:t>(</w:t>
      </w:r>
      <w:r w:rsidR="00275267">
        <w:rPr>
          <w:i/>
          <w:iCs/>
        </w:rPr>
        <w:t>lister</w:t>
      </w:r>
      <w:r w:rsidR="0021686A">
        <w:rPr>
          <w:i/>
          <w:iCs/>
        </w:rPr>
        <w:t xml:space="preserve"> les sites</w:t>
      </w:r>
      <w:r w:rsidR="00530B31">
        <w:rPr>
          <w:i/>
          <w:iCs/>
        </w:rPr>
        <w:t>).</w:t>
      </w:r>
    </w:p>
    <w:p w14:paraId="47F7848A" w14:textId="77777777" w:rsidR="00C86F4B" w:rsidRDefault="00C86F4B" w:rsidP="00BA2F96"/>
    <w:p w14:paraId="2DC8D14C" w14:textId="4AF2EB8D" w:rsidR="00BA2F96" w:rsidRPr="00BA2F96" w:rsidRDefault="00BA2F96" w:rsidP="00BA2F96">
      <w:pPr>
        <w:rPr>
          <w:rStyle w:val="Titre3Car"/>
        </w:rPr>
      </w:pPr>
      <w:bookmarkStart w:id="72" w:name="_Toc211239507"/>
      <w:bookmarkStart w:id="73" w:name="_Toc211503160"/>
      <w:r w:rsidRPr="00BA2F96">
        <w:rPr>
          <w:rStyle w:val="Titre3Car"/>
        </w:rPr>
        <w:t>Le prélèvement de cellules embryonnaires</w:t>
      </w:r>
      <w:r>
        <w:rPr>
          <w:rStyle w:val="Titre3Car"/>
        </w:rPr>
        <w:t xml:space="preserve"> (biopsie)</w:t>
      </w:r>
      <w:bookmarkEnd w:id="72"/>
      <w:bookmarkEnd w:id="73"/>
    </w:p>
    <w:p w14:paraId="2B308649" w14:textId="1D923607" w:rsidR="00BA2F96" w:rsidRDefault="00BA2F96" w:rsidP="00BA2F96"/>
    <w:p w14:paraId="2771F7AF" w14:textId="041E7FB9" w:rsidR="00BA2F96" w:rsidRDefault="00BA2F96" w:rsidP="00F5008E">
      <w:pPr>
        <w:pStyle w:val="Paragraphedeliste"/>
        <w:numPr>
          <w:ilvl w:val="0"/>
          <w:numId w:val="47"/>
        </w:numPr>
      </w:pPr>
      <w:r w:rsidRPr="00BA2F96">
        <w:rPr>
          <w:rFonts w:eastAsiaTheme="majorEastAsia" w:cstheme="majorBidi"/>
          <w:b/>
          <w:iCs/>
          <w:color w:val="002060"/>
        </w:rPr>
        <w:t>Locaux </w:t>
      </w:r>
    </w:p>
    <w:p w14:paraId="75FFB3C1" w14:textId="77777777" w:rsidR="0021686A" w:rsidRDefault="0021686A" w:rsidP="00BA2F96"/>
    <w:p w14:paraId="3B2E813B" w14:textId="0E2D45C5" w:rsidR="00FF0C04" w:rsidRPr="00F5008E" w:rsidRDefault="0021686A" w:rsidP="00F5008E">
      <w:pPr>
        <w:shd w:val="clear" w:color="auto" w:fill="F2F2F2" w:themeFill="background1" w:themeFillShade="F2"/>
        <w:rPr>
          <w:i/>
          <w:iCs/>
        </w:rPr>
      </w:pPr>
      <w:r w:rsidRPr="00F5008E">
        <w:rPr>
          <w:i/>
          <w:iCs/>
        </w:rPr>
        <w:t>Confirmer</w:t>
      </w:r>
      <w:r w:rsidR="003C2598">
        <w:rPr>
          <w:i/>
          <w:iCs/>
        </w:rPr>
        <w:t xml:space="preserve"> </w:t>
      </w:r>
      <w:r w:rsidRPr="00F5008E">
        <w:rPr>
          <w:i/>
          <w:iCs/>
        </w:rPr>
        <w:t>l’</w:t>
      </w:r>
      <w:r w:rsidR="00FF0C04" w:rsidRPr="00F5008E">
        <w:rPr>
          <w:i/>
          <w:iCs/>
        </w:rPr>
        <w:t xml:space="preserve">application de l’arrêté des règles de bonnes pratiques en AMP, </w:t>
      </w:r>
      <w:r w:rsidR="00BA2F96" w:rsidRPr="00F5008E">
        <w:rPr>
          <w:i/>
          <w:iCs/>
        </w:rPr>
        <w:t>la</w:t>
      </w:r>
      <w:r w:rsidR="00FF0C04" w:rsidRPr="00F5008E">
        <w:rPr>
          <w:i/>
          <w:iCs/>
        </w:rPr>
        <w:t xml:space="preserve"> pièce</w:t>
      </w:r>
      <w:r w:rsidR="00BA2F96" w:rsidRPr="00F5008E">
        <w:rPr>
          <w:i/>
          <w:iCs/>
        </w:rPr>
        <w:t xml:space="preserve"> de prélèvement</w:t>
      </w:r>
      <w:r w:rsidR="00FF0C04" w:rsidRPr="00F5008E">
        <w:rPr>
          <w:i/>
          <w:iCs/>
        </w:rPr>
        <w:t xml:space="preserve"> est aux conditions environnementales contrôlées (notamment en classe D, définie dans les normes ISO 14644 et 14698 aux plans particulaires et microbiologiques)</w:t>
      </w:r>
    </w:p>
    <w:p w14:paraId="5CC41308" w14:textId="77777777" w:rsidR="00530B31" w:rsidRDefault="00530B31" w:rsidP="00FF0C04"/>
    <w:p w14:paraId="2D31A68A" w14:textId="1C17FC28" w:rsidR="00FF0C04" w:rsidRPr="00F5008E" w:rsidRDefault="00530B31" w:rsidP="00F5008E">
      <w:pPr>
        <w:shd w:val="clear" w:color="auto" w:fill="F2F2F2" w:themeFill="background1" w:themeFillShade="F2"/>
        <w:rPr>
          <w:i/>
          <w:iCs/>
        </w:rPr>
      </w:pPr>
      <w:r w:rsidRPr="00F5008E">
        <w:rPr>
          <w:i/>
          <w:iCs/>
        </w:rPr>
        <w:t>Faire référenc</w:t>
      </w:r>
      <w:r w:rsidR="00EA3A20" w:rsidRPr="00F5008E">
        <w:rPr>
          <w:i/>
          <w:iCs/>
        </w:rPr>
        <w:t>e</w:t>
      </w:r>
      <w:r w:rsidRPr="00F5008E">
        <w:rPr>
          <w:i/>
          <w:iCs/>
        </w:rPr>
        <w:t xml:space="preserve"> </w:t>
      </w:r>
      <w:r w:rsidR="00275267" w:rsidRPr="00F5008E">
        <w:rPr>
          <w:i/>
          <w:iCs/>
        </w:rPr>
        <w:t>aux moyens</w:t>
      </w:r>
      <w:r w:rsidR="00FF0C04" w:rsidRPr="00F5008E">
        <w:rPr>
          <w:i/>
          <w:iCs/>
        </w:rPr>
        <w:t xml:space="preserve"> mis en œuvre pour limiter le risque de contamination par de l’ADN</w:t>
      </w:r>
    </w:p>
    <w:p w14:paraId="2922C672" w14:textId="77777777" w:rsidR="003C2598" w:rsidRPr="00F5008E" w:rsidRDefault="003C2598" w:rsidP="00F5008E">
      <w:pPr>
        <w:pStyle w:val="Paragraphedeliste"/>
      </w:pPr>
    </w:p>
    <w:p w14:paraId="24EEC41F" w14:textId="7A4DD5D6" w:rsidR="00BA2F96" w:rsidRDefault="00BA2F96" w:rsidP="00BA2F96">
      <w:pPr>
        <w:pStyle w:val="Paragraphedeliste"/>
        <w:numPr>
          <w:ilvl w:val="0"/>
          <w:numId w:val="47"/>
        </w:numPr>
      </w:pPr>
      <w:r w:rsidRPr="00BA2F96">
        <w:rPr>
          <w:rFonts w:eastAsiaTheme="majorEastAsia" w:cstheme="majorBidi"/>
          <w:b/>
          <w:iCs/>
          <w:color w:val="002060"/>
        </w:rPr>
        <w:t>Technique </w:t>
      </w:r>
    </w:p>
    <w:p w14:paraId="0658B8D6" w14:textId="77777777" w:rsidR="00BA2F96" w:rsidRDefault="00BA2F96" w:rsidP="00FF0C04"/>
    <w:p w14:paraId="3794DFA9" w14:textId="77777777" w:rsidR="00BA2F96" w:rsidRDefault="00BA2F96" w:rsidP="00FF0C04">
      <w:r>
        <w:t>La biopsie embryonnaire est réalisée :</w:t>
      </w:r>
    </w:p>
    <w:p w14:paraId="41A40C13" w14:textId="77777777" w:rsidR="00BA2F96" w:rsidRDefault="00BA2F96" w:rsidP="00FF0C04">
      <w:r>
        <w:t>- sous la responsabilité d’un praticien disposant de l’agrément spécifique</w:t>
      </w:r>
    </w:p>
    <w:p w14:paraId="051D52EE" w14:textId="793C76E8" w:rsidR="00BA2F96" w:rsidRDefault="00BA2F96" w:rsidP="00FF0C04">
      <w:r>
        <w:t>- au vu</w:t>
      </w:r>
      <w:r w:rsidR="00C813BA">
        <w:t>e</w:t>
      </w:r>
      <w:r>
        <w:t xml:space="preserve"> de l’attestation établissant l’indication du diagnostic </w:t>
      </w:r>
    </w:p>
    <w:p w14:paraId="590400B0" w14:textId="1219EAC8" w:rsidR="00BA2F96" w:rsidRDefault="00BA2F96" w:rsidP="00FF0C04">
      <w:r>
        <w:t>- au vue du consentement du couple ou de la femme non mariée.</w:t>
      </w:r>
    </w:p>
    <w:p w14:paraId="6E805CCA" w14:textId="40F254F5" w:rsidR="00FF0C04" w:rsidRDefault="00FF0C04" w:rsidP="00FF0C04"/>
    <w:p w14:paraId="2BB21D29" w14:textId="0054A433" w:rsidR="00BA2F96" w:rsidRPr="00BA2F96" w:rsidRDefault="00BA2F96" w:rsidP="00BA2F96">
      <w:pPr>
        <w:pStyle w:val="Paragraphedeliste"/>
        <w:numPr>
          <w:ilvl w:val="0"/>
          <w:numId w:val="47"/>
        </w:numPr>
        <w:rPr>
          <w:rFonts w:eastAsiaTheme="majorEastAsia" w:cstheme="majorBidi"/>
          <w:b/>
          <w:iCs/>
          <w:color w:val="002060"/>
        </w:rPr>
      </w:pPr>
      <w:r w:rsidRPr="00BA2F96">
        <w:rPr>
          <w:rFonts w:eastAsiaTheme="majorEastAsia" w:cstheme="majorBidi"/>
          <w:b/>
          <w:iCs/>
          <w:color w:val="002060"/>
        </w:rPr>
        <w:t xml:space="preserve">Le transport des échantillons </w:t>
      </w:r>
    </w:p>
    <w:p w14:paraId="2A4B1B08" w14:textId="77777777" w:rsidR="00BA2F96" w:rsidRDefault="00BA2F96" w:rsidP="00FF0C04"/>
    <w:p w14:paraId="3D2AAD30" w14:textId="776FD138" w:rsidR="0037223A" w:rsidRPr="00F5008E" w:rsidRDefault="0037223A" w:rsidP="00F5008E">
      <w:pPr>
        <w:shd w:val="clear" w:color="auto" w:fill="F2F2F2" w:themeFill="background1" w:themeFillShade="F2"/>
        <w:rPr>
          <w:i/>
          <w:iCs/>
        </w:rPr>
      </w:pPr>
      <w:r w:rsidRPr="00F5008E">
        <w:rPr>
          <w:i/>
          <w:iCs/>
        </w:rPr>
        <w:t>Joindre la procédure de transport des échantillons qui doit prendre en compte les éléments suivants</w:t>
      </w:r>
      <w:r w:rsidR="00EA3A20" w:rsidRPr="00F5008E">
        <w:rPr>
          <w:i/>
          <w:iCs/>
        </w:rPr>
        <w:t> :</w:t>
      </w:r>
    </w:p>
    <w:p w14:paraId="10281DAF" w14:textId="3DC47894" w:rsidR="003C2598" w:rsidRPr="00F5008E" w:rsidRDefault="00FF0C04" w:rsidP="00F5008E">
      <w:pPr>
        <w:pStyle w:val="Paragraphedeliste"/>
        <w:numPr>
          <w:ilvl w:val="0"/>
          <w:numId w:val="50"/>
        </w:numPr>
        <w:shd w:val="clear" w:color="auto" w:fill="F2F2F2" w:themeFill="background1" w:themeFillShade="F2"/>
        <w:rPr>
          <w:i/>
          <w:iCs/>
        </w:rPr>
      </w:pPr>
      <w:r w:rsidRPr="00F5008E">
        <w:rPr>
          <w:i/>
          <w:iCs/>
        </w:rPr>
        <w:t>Les modalités de transport des échantillons</w:t>
      </w:r>
      <w:r w:rsidR="00275267">
        <w:rPr>
          <w:i/>
          <w:iCs/>
        </w:rPr>
        <w:t xml:space="preserve"> (et traçabilité)</w:t>
      </w:r>
      <w:r w:rsidRPr="00F5008E">
        <w:rPr>
          <w:i/>
          <w:iCs/>
        </w:rPr>
        <w:t xml:space="preserve"> entre le laboratoire d’AMP du CDPI et le laboratoire autorisé pour la réalisation d’examens de génétique sur la ou les cellules embryonnaires.</w:t>
      </w:r>
    </w:p>
    <w:p w14:paraId="3C532003" w14:textId="5F1F98E7" w:rsidR="00AE419C" w:rsidRPr="00275267" w:rsidRDefault="00C86F4B" w:rsidP="00F5008E">
      <w:pPr>
        <w:pStyle w:val="Paragraphedeliste"/>
        <w:numPr>
          <w:ilvl w:val="0"/>
          <w:numId w:val="50"/>
        </w:numPr>
        <w:shd w:val="clear" w:color="auto" w:fill="F2F2F2" w:themeFill="background1" w:themeFillShade="F2"/>
        <w:rPr>
          <w:i/>
          <w:iCs/>
        </w:rPr>
      </w:pPr>
      <w:r w:rsidRPr="00275267">
        <w:rPr>
          <w:i/>
          <w:iCs/>
        </w:rPr>
        <w:t>Les</w:t>
      </w:r>
      <w:r w:rsidR="005F2E9E" w:rsidRPr="00275267">
        <w:rPr>
          <w:i/>
          <w:iCs/>
        </w:rPr>
        <w:t xml:space="preserve"> </w:t>
      </w:r>
      <w:r w:rsidRPr="00275267">
        <w:rPr>
          <w:i/>
          <w:iCs/>
        </w:rPr>
        <w:t xml:space="preserve">lames ou les tubes contenant la ou les cellules embryonnaires prélevées sont transmis accompagnés d’une copie de l’attestation établissant l’indication du diagnostic et du formulaire de consentement du couple ou de la femme non mariée au praticien agréé pour pratiquer l’examen de cytogénétique, y compris moléculaire, ou l’examen de génétique moléculaire. </w:t>
      </w:r>
    </w:p>
    <w:p w14:paraId="0492F3BD" w14:textId="7DE24816" w:rsidR="00AE419C" w:rsidRDefault="00AE419C" w:rsidP="00AE419C">
      <w:pPr>
        <w:pStyle w:val="Titre1"/>
      </w:pPr>
      <w:bookmarkStart w:id="74" w:name="_Toc211239508"/>
      <w:bookmarkStart w:id="75" w:name="_Toc211503161"/>
      <w:r>
        <w:lastRenderedPageBreak/>
        <w:t>La génétique médicale</w:t>
      </w:r>
      <w:bookmarkEnd w:id="74"/>
      <w:bookmarkEnd w:id="75"/>
    </w:p>
    <w:p w14:paraId="6CF47C22" w14:textId="77777777" w:rsidR="00C86F4B" w:rsidRPr="00C86F4B" w:rsidRDefault="00C86F4B" w:rsidP="00C86F4B"/>
    <w:p w14:paraId="280D504F" w14:textId="7A4B2633" w:rsidR="00AE419C" w:rsidRDefault="00AE419C" w:rsidP="00CA3D34">
      <w:pPr>
        <w:pStyle w:val="Titre2"/>
      </w:pPr>
      <w:bookmarkStart w:id="76" w:name="_Toc211239509"/>
      <w:bookmarkStart w:id="77" w:name="_Toc211503162"/>
      <w:r>
        <w:t>Génétique clinique</w:t>
      </w:r>
      <w:bookmarkEnd w:id="76"/>
      <w:bookmarkEnd w:id="77"/>
    </w:p>
    <w:p w14:paraId="30056A7D" w14:textId="0AE42F59" w:rsidR="00C86F4B" w:rsidRDefault="00C86F4B" w:rsidP="00C86F4B"/>
    <w:p w14:paraId="6EF912EA" w14:textId="3D3A5E64" w:rsidR="0037223A" w:rsidRPr="00F5008E" w:rsidRDefault="0037223A" w:rsidP="00F5008E">
      <w:pPr>
        <w:shd w:val="clear" w:color="auto" w:fill="F2F2F2" w:themeFill="background1" w:themeFillShade="F2"/>
        <w:rPr>
          <w:i/>
          <w:iCs/>
        </w:rPr>
      </w:pPr>
      <w:r w:rsidRPr="00F5008E">
        <w:rPr>
          <w:i/>
          <w:iCs/>
        </w:rPr>
        <w:t xml:space="preserve">Confirmer que : </w:t>
      </w:r>
    </w:p>
    <w:p w14:paraId="782DAA1E" w14:textId="77777777" w:rsidR="0037223A" w:rsidRPr="00F5008E" w:rsidRDefault="0037223A" w:rsidP="00F5008E">
      <w:pPr>
        <w:shd w:val="clear" w:color="auto" w:fill="F2F2F2" w:themeFill="background1" w:themeFillShade="F2"/>
        <w:rPr>
          <w:i/>
          <w:iCs/>
        </w:rPr>
      </w:pPr>
    </w:p>
    <w:p w14:paraId="160EEA2C" w14:textId="4685056B" w:rsidR="00675C15" w:rsidRPr="00F5008E" w:rsidRDefault="00C86F4B" w:rsidP="00F5008E">
      <w:pPr>
        <w:shd w:val="clear" w:color="auto" w:fill="F2F2F2" w:themeFill="background1" w:themeFillShade="F2"/>
        <w:rPr>
          <w:i/>
          <w:iCs/>
        </w:rPr>
      </w:pPr>
      <w:r w:rsidRPr="00F5008E">
        <w:rPr>
          <w:i/>
          <w:iCs/>
        </w:rPr>
        <w:t>Un médecin du CPDPN, titulaire du diplôme d’études spécialisées de génétique médicale ou d’un diplôme équivalen</w:t>
      </w:r>
      <w:r w:rsidR="00954082" w:rsidRPr="00F5008E">
        <w:rPr>
          <w:i/>
          <w:iCs/>
        </w:rPr>
        <w:t>t </w:t>
      </w:r>
    </w:p>
    <w:p w14:paraId="2668B22B" w14:textId="77777777" w:rsidR="00675C15" w:rsidRPr="00F5008E" w:rsidRDefault="00675C15" w:rsidP="00F5008E">
      <w:pPr>
        <w:shd w:val="clear" w:color="auto" w:fill="F2F2F2" w:themeFill="background1" w:themeFillShade="F2"/>
        <w:rPr>
          <w:i/>
          <w:iCs/>
        </w:rPr>
      </w:pPr>
      <w:r w:rsidRPr="00F5008E">
        <w:rPr>
          <w:i/>
          <w:iCs/>
        </w:rPr>
        <w:t xml:space="preserve">- signe les attestations de DPI, </w:t>
      </w:r>
    </w:p>
    <w:p w14:paraId="7B90526D" w14:textId="77777777" w:rsidR="00675C15" w:rsidRPr="00F5008E" w:rsidRDefault="00675C15" w:rsidP="00F5008E">
      <w:pPr>
        <w:shd w:val="clear" w:color="auto" w:fill="F2F2F2" w:themeFill="background1" w:themeFillShade="F2"/>
        <w:rPr>
          <w:i/>
          <w:iCs/>
        </w:rPr>
      </w:pPr>
      <w:r w:rsidRPr="00F5008E">
        <w:rPr>
          <w:i/>
          <w:iCs/>
        </w:rPr>
        <w:t xml:space="preserve">- s’assure de la coordination du dossier médical, </w:t>
      </w:r>
    </w:p>
    <w:p w14:paraId="64F62BBC" w14:textId="730CCC27" w:rsidR="00954082" w:rsidRPr="00F5008E" w:rsidRDefault="00675C15" w:rsidP="00F5008E">
      <w:pPr>
        <w:shd w:val="clear" w:color="auto" w:fill="F2F2F2" w:themeFill="background1" w:themeFillShade="F2"/>
        <w:rPr>
          <w:i/>
          <w:iCs/>
          <w:vertAlign w:val="superscript"/>
        </w:rPr>
      </w:pPr>
      <w:r w:rsidRPr="00F5008E">
        <w:rPr>
          <w:i/>
          <w:iCs/>
        </w:rPr>
        <w:t>-</w:t>
      </w:r>
      <w:r w:rsidR="005F06E9">
        <w:rPr>
          <w:i/>
          <w:iCs/>
        </w:rPr>
        <w:t xml:space="preserve"> </w:t>
      </w:r>
      <w:r w:rsidRPr="00F5008E">
        <w:rPr>
          <w:i/>
          <w:iCs/>
        </w:rPr>
        <w:t>informe et recueille par écrit l</w:t>
      </w:r>
      <w:r w:rsidR="00C86F4B" w:rsidRPr="00F5008E">
        <w:rPr>
          <w:i/>
          <w:iCs/>
        </w:rPr>
        <w:t>e consentement éclairé en vue de l’examen des caractéristiques génétiques</w:t>
      </w:r>
      <w:r w:rsidRPr="00F5008E">
        <w:rPr>
          <w:i/>
          <w:iCs/>
        </w:rPr>
        <w:footnoteReference w:id="7"/>
      </w:r>
    </w:p>
    <w:p w14:paraId="04D8B364" w14:textId="77777777" w:rsidR="00954082" w:rsidRPr="00C86F4B" w:rsidRDefault="00954082" w:rsidP="00C86F4B"/>
    <w:p w14:paraId="73679B2B" w14:textId="78880E9D" w:rsidR="00AE419C" w:rsidRDefault="00AE419C" w:rsidP="00CA3D34">
      <w:pPr>
        <w:pStyle w:val="Titre2"/>
      </w:pPr>
      <w:bookmarkStart w:id="78" w:name="_Toc211239510"/>
      <w:bookmarkStart w:id="79" w:name="_Toc211503163"/>
      <w:r>
        <w:t>Génétique biologique</w:t>
      </w:r>
      <w:bookmarkEnd w:id="78"/>
      <w:bookmarkEnd w:id="79"/>
      <w:r>
        <w:t xml:space="preserve"> </w:t>
      </w:r>
    </w:p>
    <w:p w14:paraId="6C51AA10" w14:textId="13F60613" w:rsidR="00EA3A20" w:rsidRDefault="00EA3A20" w:rsidP="00B00E8D"/>
    <w:p w14:paraId="6053CDDC" w14:textId="7D2B1103" w:rsidR="00EA3A20" w:rsidRPr="00EA3A20" w:rsidRDefault="00EA3A20" w:rsidP="00EA3A20">
      <w:pPr>
        <w:shd w:val="clear" w:color="auto" w:fill="F2F2F2" w:themeFill="background1" w:themeFillShade="F2"/>
        <w:rPr>
          <w:i/>
          <w:iCs/>
        </w:rPr>
      </w:pPr>
      <w:r w:rsidRPr="00EA3A20">
        <w:rPr>
          <w:i/>
          <w:iCs/>
        </w:rPr>
        <w:t xml:space="preserve">Décrire, le cas échéant, les </w:t>
      </w:r>
      <w:r w:rsidR="003C2598" w:rsidRPr="00EA3A20">
        <w:rPr>
          <w:i/>
          <w:iCs/>
        </w:rPr>
        <w:t>éléments</w:t>
      </w:r>
      <w:r w:rsidRPr="00EA3A20">
        <w:rPr>
          <w:i/>
          <w:iCs/>
        </w:rPr>
        <w:t xml:space="preserve"> spécifique au CDPI</w:t>
      </w:r>
    </w:p>
    <w:p w14:paraId="55746973" w14:textId="6DFE4B19" w:rsidR="00C813BA" w:rsidRDefault="00C813BA" w:rsidP="00B00E8D"/>
    <w:p w14:paraId="4F93F49E" w14:textId="58095631" w:rsidR="00C813BA" w:rsidRPr="00C813BA" w:rsidRDefault="00C813BA" w:rsidP="00B00E8D">
      <w:pPr>
        <w:rPr>
          <w:b/>
          <w:bCs/>
        </w:rPr>
      </w:pPr>
      <w:r w:rsidRPr="00C813BA">
        <w:rPr>
          <w:b/>
          <w:bCs/>
        </w:rPr>
        <w:t>Cas des DPI avec donneur</w:t>
      </w:r>
    </w:p>
    <w:p w14:paraId="786552A0" w14:textId="60CE3743" w:rsidR="00B00E8D" w:rsidRDefault="00B00E8D" w:rsidP="00B00E8D"/>
    <w:p w14:paraId="1A9C1FCF" w14:textId="3BD11C30" w:rsidR="005F2E9E" w:rsidRPr="00EA3A20" w:rsidRDefault="0037223A" w:rsidP="00F5008E">
      <w:pPr>
        <w:shd w:val="clear" w:color="auto" w:fill="F2F2F2" w:themeFill="background1" w:themeFillShade="F2"/>
        <w:rPr>
          <w:i/>
          <w:iCs/>
        </w:rPr>
      </w:pPr>
      <w:r w:rsidRPr="00EA3A20">
        <w:rPr>
          <w:i/>
          <w:iCs/>
        </w:rPr>
        <w:t>Fournir la proc</w:t>
      </w:r>
      <w:r w:rsidR="00EA3A20">
        <w:rPr>
          <w:i/>
          <w:iCs/>
        </w:rPr>
        <w:t>é</w:t>
      </w:r>
      <w:r w:rsidRPr="00EA3A20">
        <w:rPr>
          <w:i/>
          <w:iCs/>
        </w:rPr>
        <w:t xml:space="preserve">dure concernant un DPI avec tiers donneur en prenant en compte les éléments </w:t>
      </w:r>
      <w:r w:rsidR="003C2598">
        <w:rPr>
          <w:i/>
          <w:iCs/>
        </w:rPr>
        <w:t>suivants :</w:t>
      </w:r>
    </w:p>
    <w:p w14:paraId="2AA6EC91" w14:textId="77777777" w:rsidR="0037223A" w:rsidRDefault="0037223A" w:rsidP="00F5008E">
      <w:pPr>
        <w:shd w:val="clear" w:color="auto" w:fill="F2F2F2" w:themeFill="background1" w:themeFillShade="F2"/>
      </w:pPr>
    </w:p>
    <w:p w14:paraId="26B31ED5" w14:textId="62BDE92A" w:rsidR="00B00E8D" w:rsidRPr="00EA3A20" w:rsidRDefault="00B00E8D" w:rsidP="00EA3A20">
      <w:pPr>
        <w:shd w:val="clear" w:color="auto" w:fill="F2F2F2" w:themeFill="background1" w:themeFillShade="F2"/>
        <w:rPr>
          <w:i/>
          <w:iCs/>
        </w:rPr>
      </w:pPr>
      <w:r w:rsidRPr="00EA3A20">
        <w:rPr>
          <w:i/>
          <w:iCs/>
        </w:rPr>
        <w:t xml:space="preserve">Dans l’hypothèse d’un DPI réalisé dans un processus d’AMP incluant les gamètes d’un tiers donneur, il est possible que la technique de mise au point du diagnostic génétique utilisée révèle des caractéristiques génétiques concernant le tiers donneur. Dans cette situation de DPI, au moment du don, le tiers donneur de gamètes sera informé dans la mesure du possible par un médecin qualifié en génétique ou un conseiller en génétique, ou à défaut par tout médecin du centre de don exerçant en lien avec une équipe de génétique, que certaines techniques de mise au point seront réalisées. Dans l’hypothèse où le résultat des analyses réalisées permettait d’identifier, chez le tiers donneur, une anomalie génétique pouvant être responsable d’une affection grave justifiant de mesures de prévention, y compris de conseil génétique, ou de soins celui-ci pourrait être recontacté par un médecin œuvrant au sein d’une l’équipe pluridisciplinaire chargée des personnes asymptomatiques, pour une prise en charge réalisée dans les conditions fixées par la réglementation en vigueur en matière de prescription et de réalisation des examens des caractéristiques génétique d’une personne. </w:t>
      </w:r>
    </w:p>
    <w:p w14:paraId="4C7D6220" w14:textId="18B4D010" w:rsidR="00B00E8D" w:rsidRDefault="00B00E8D" w:rsidP="00F5008E">
      <w:pPr>
        <w:shd w:val="clear" w:color="auto" w:fill="F2F2F2" w:themeFill="background1" w:themeFillShade="F2"/>
      </w:pPr>
      <w:r w:rsidRPr="00EA3A20">
        <w:rPr>
          <w:i/>
          <w:iCs/>
        </w:rPr>
        <w:t xml:space="preserve">Dans certaines situations (les maladies génétiques à révélation tardive par exemple maladies à expansion de triplets), un double don, pourrait être proposé au couple ou la femme non mariée par l’équipe du CDPI. Les techniques de mise au point indirectes, limitant le risque de diagnostic chez le tiers donneur, sont mises en œuvre si la qualité du DPI réalisé est équivalente aux techniques de mise au point directes. </w:t>
      </w:r>
    </w:p>
    <w:p w14:paraId="4F750B83" w14:textId="77777777" w:rsidR="00B00E8D" w:rsidRDefault="00B00E8D" w:rsidP="00FF0C04"/>
    <w:p w14:paraId="293577F0" w14:textId="670E5C55" w:rsidR="00FF0C04" w:rsidRDefault="00AE419C" w:rsidP="00EA3A20">
      <w:pPr>
        <w:pStyle w:val="Titre2"/>
      </w:pPr>
      <w:bookmarkStart w:id="80" w:name="_Toc211239511"/>
      <w:bookmarkStart w:id="81" w:name="_Toc211503164"/>
      <w:r>
        <w:t>Génétique moléculaire</w:t>
      </w:r>
      <w:r w:rsidR="00EA3A20">
        <w:t xml:space="preserve"> et Cytogénétique</w:t>
      </w:r>
      <w:bookmarkEnd w:id="80"/>
      <w:bookmarkEnd w:id="81"/>
    </w:p>
    <w:p w14:paraId="2CF91CA5" w14:textId="77777777" w:rsidR="00EA3A20" w:rsidRDefault="00EA3A20" w:rsidP="00FF0C04"/>
    <w:p w14:paraId="66F3AA0C" w14:textId="1A9C5FE3" w:rsidR="00862B65" w:rsidRPr="00F5008E" w:rsidRDefault="0021686A" w:rsidP="00F5008E">
      <w:pPr>
        <w:shd w:val="clear" w:color="auto" w:fill="F2F2F2" w:themeFill="background1" w:themeFillShade="F2"/>
        <w:rPr>
          <w:i/>
          <w:iCs/>
        </w:rPr>
      </w:pPr>
      <w:r w:rsidRPr="00F5008E">
        <w:rPr>
          <w:i/>
          <w:iCs/>
        </w:rPr>
        <w:t xml:space="preserve">Des modes opératoires </w:t>
      </w:r>
      <w:r w:rsidR="003C2598" w:rsidRPr="00EA3A20">
        <w:rPr>
          <w:i/>
          <w:iCs/>
        </w:rPr>
        <w:t>doivent</w:t>
      </w:r>
      <w:r w:rsidRPr="00F5008E">
        <w:rPr>
          <w:i/>
          <w:iCs/>
        </w:rPr>
        <w:t xml:space="preserve"> être mis à disposition des techniciens. </w:t>
      </w:r>
      <w:r w:rsidR="003C2598">
        <w:rPr>
          <w:i/>
          <w:iCs/>
        </w:rPr>
        <w:t>Préciser les</w:t>
      </w:r>
      <w:r w:rsidRPr="00F5008E">
        <w:rPr>
          <w:i/>
          <w:iCs/>
        </w:rPr>
        <w:t xml:space="preserve"> références</w:t>
      </w:r>
      <w:r w:rsidR="003C2598">
        <w:rPr>
          <w:i/>
          <w:iCs/>
        </w:rPr>
        <w:t>.</w:t>
      </w:r>
    </w:p>
    <w:p w14:paraId="2F0D9979" w14:textId="6D834E53" w:rsidR="00862B65" w:rsidRDefault="00862B65" w:rsidP="00FF0C04"/>
    <w:p w14:paraId="6160AFCD" w14:textId="554529CE" w:rsidR="002D7B81" w:rsidRDefault="002D7B81" w:rsidP="00FF0C04"/>
    <w:p w14:paraId="5961B7F9" w14:textId="6F7D6F26" w:rsidR="002D7B81" w:rsidRDefault="002D7B81" w:rsidP="00FF0C04"/>
    <w:p w14:paraId="3A1DEE74" w14:textId="21256B64" w:rsidR="002D7B81" w:rsidRDefault="002D7B81" w:rsidP="00FF0C04"/>
    <w:p w14:paraId="339599AB" w14:textId="69AD6306" w:rsidR="002D7B81" w:rsidRDefault="002D7B81" w:rsidP="00FF0C04"/>
    <w:p w14:paraId="3BBCC362" w14:textId="25276828" w:rsidR="002D7B81" w:rsidRDefault="002D7B81" w:rsidP="00FF0C04"/>
    <w:p w14:paraId="73D38CA9" w14:textId="2D831000" w:rsidR="002D7B81" w:rsidRDefault="002D7B81" w:rsidP="00FF0C04"/>
    <w:p w14:paraId="18099D1B" w14:textId="77777777" w:rsidR="002D7B81" w:rsidRDefault="002D7B81" w:rsidP="00FF0C04"/>
    <w:p w14:paraId="7C87DD63" w14:textId="24900674" w:rsidR="00AE419C" w:rsidRDefault="00BD7F4E" w:rsidP="00BD7F4E">
      <w:pPr>
        <w:pStyle w:val="Titre1"/>
      </w:pPr>
      <w:bookmarkStart w:id="82" w:name="_Toc211239512"/>
      <w:bookmarkStart w:id="83" w:name="_Toc211503165"/>
      <w:r w:rsidRPr="00AE419C">
        <w:lastRenderedPageBreak/>
        <w:t>Lien avec les CPDPN</w:t>
      </w:r>
      <w:bookmarkEnd w:id="82"/>
      <w:bookmarkEnd w:id="83"/>
      <w:r w:rsidR="004B1FE3" w:rsidRPr="00AE419C">
        <w:t xml:space="preserve"> </w:t>
      </w:r>
    </w:p>
    <w:p w14:paraId="6E37800D" w14:textId="77777777" w:rsidR="001F59A9" w:rsidRDefault="001F59A9" w:rsidP="001F59A9"/>
    <w:p w14:paraId="31757DA8" w14:textId="036253DA" w:rsidR="001F59A9" w:rsidRPr="008B2E60" w:rsidRDefault="001F59A9" w:rsidP="001F59A9">
      <w:r>
        <w:t>Poser l’indication de</w:t>
      </w:r>
      <w:r w:rsidRPr="008B2E60">
        <w:t xml:space="preserve"> recourir au DPI</w:t>
      </w:r>
      <w:r>
        <w:t xml:space="preserve"> </w:t>
      </w:r>
      <w:r w:rsidRPr="008B2E60">
        <w:t>fait partie des missions des CPDPN</w:t>
      </w:r>
      <w:r>
        <w:t>.</w:t>
      </w:r>
    </w:p>
    <w:p w14:paraId="10DA3592" w14:textId="77777777" w:rsidR="00D915F9" w:rsidRPr="00D915F9" w:rsidRDefault="00D915F9" w:rsidP="00D915F9"/>
    <w:p w14:paraId="7F5EF25E" w14:textId="6E9DD087" w:rsidR="008B2E60" w:rsidRDefault="00AE419C" w:rsidP="002D7B81">
      <w:pPr>
        <w:pStyle w:val="Titre2"/>
      </w:pPr>
      <w:bookmarkStart w:id="84" w:name="_Toc211239513"/>
      <w:bookmarkStart w:id="85" w:name="_Toc211503166"/>
      <w:r>
        <w:t xml:space="preserve">CPDPN </w:t>
      </w:r>
      <w:r w:rsidR="004B1FE3" w:rsidRPr="00AE419C">
        <w:t>ext</w:t>
      </w:r>
      <w:bookmarkEnd w:id="84"/>
      <w:r w:rsidR="00A2415E">
        <w:t xml:space="preserve">érieur </w:t>
      </w:r>
      <w:r w:rsidR="00A2415E" w:rsidRPr="00733FBB">
        <w:t>au CDPI</w:t>
      </w:r>
      <w:bookmarkEnd w:id="85"/>
      <w:r w:rsidR="00A2415E" w:rsidRPr="00733FBB">
        <w:t> </w:t>
      </w:r>
    </w:p>
    <w:p w14:paraId="3755B165" w14:textId="77777777" w:rsidR="002D7B81" w:rsidRPr="002D7B81" w:rsidRDefault="002D7B81" w:rsidP="002D7B81"/>
    <w:p w14:paraId="503FA3A3" w14:textId="74086426" w:rsidR="008B2E60" w:rsidRPr="008B2E60" w:rsidRDefault="008B2E60" w:rsidP="008B2E60">
      <w:r w:rsidRPr="008B2E60">
        <w:t>Le CPDPN de ………………………</w:t>
      </w:r>
      <w:proofErr w:type="gramStart"/>
      <w:r w:rsidRPr="008B2E60">
        <w:t>…….</w:t>
      </w:r>
      <w:proofErr w:type="gramEnd"/>
      <w:r w:rsidRPr="008B2E60">
        <w:t>. est une source de compétence pouvant être utilisée par les autres CPDPN, non rattachés au CDPI de…………</w:t>
      </w:r>
      <w:proofErr w:type="gramStart"/>
      <w:r w:rsidRPr="008B2E60">
        <w:t>…….</w:t>
      </w:r>
      <w:proofErr w:type="gramEnd"/>
      <w:r w:rsidR="003C2598">
        <w:t>.</w:t>
      </w:r>
    </w:p>
    <w:p w14:paraId="7FEA3E6B" w14:textId="77777777" w:rsidR="008B2E60" w:rsidRPr="008B2E60" w:rsidRDefault="008B2E60" w:rsidP="008B2E60"/>
    <w:p w14:paraId="4AD5BBB0" w14:textId="77777777" w:rsidR="008B2E60" w:rsidRPr="008B2E60" w:rsidRDefault="008B2E60" w:rsidP="008B2E60">
      <w:r w:rsidRPr="008B2E60">
        <w:t xml:space="preserve">Dans ces situations, ces CPDPN organisent des réunions de concertation en mobilisant le cas échéant les compétences du CPDPN de………………. </w:t>
      </w:r>
    </w:p>
    <w:p w14:paraId="5DA8017D" w14:textId="77777777" w:rsidR="008B2E60" w:rsidRPr="008B2E60" w:rsidRDefault="008B2E60" w:rsidP="008B2E60"/>
    <w:p w14:paraId="0D8A9506" w14:textId="58FA07CF" w:rsidR="008B2E60" w:rsidRPr="008B2E60" w:rsidRDefault="008B2E60" w:rsidP="008B2E60">
      <w:r w:rsidRPr="008B2E60">
        <w:t>Chaque indication de recourir au DPI, retenue après cette concertation, peut conduire le CPDPN extérieur à établir une attestation de recours au DPI, signée par un médecin qualifié en génétique médicale, membre du CPDPN. Cette attestation ne présage pas de la faisabilité du DPI.</w:t>
      </w:r>
    </w:p>
    <w:p w14:paraId="1883B02B" w14:textId="77777777" w:rsidR="008B2E60" w:rsidRPr="008B2E60" w:rsidRDefault="008B2E60" w:rsidP="008B2E60"/>
    <w:p w14:paraId="20CA55B0" w14:textId="2D50083E" w:rsidR="008B2E60" w:rsidRDefault="008B2E60" w:rsidP="008B2E60">
      <w:r>
        <w:t>Ainsi si un CPDPN non rattaché au CDPI de………………. est amené à examiner une demande de DPI, il précise au couple ou à la femme non mariée qu’une attestation devra être délivrée par le CPDPN rattaché au CDPI.</w:t>
      </w:r>
    </w:p>
    <w:p w14:paraId="309C4154" w14:textId="77777777" w:rsidR="008B2E60" w:rsidRPr="008B2E60" w:rsidRDefault="008B2E60" w:rsidP="008B2E60"/>
    <w:p w14:paraId="3A6F7744" w14:textId="5DF9AF17" w:rsidR="00BD7F4E" w:rsidRDefault="00AE419C" w:rsidP="00CA3D34">
      <w:pPr>
        <w:pStyle w:val="Titre2"/>
        <w:rPr>
          <w:highlight w:val="yellow"/>
        </w:rPr>
      </w:pPr>
      <w:bookmarkStart w:id="86" w:name="_Toc211239514"/>
      <w:bookmarkStart w:id="87" w:name="_Toc211503167"/>
      <w:r>
        <w:t xml:space="preserve">CPDPN </w:t>
      </w:r>
      <w:r w:rsidR="004B1FE3" w:rsidRPr="00AE419C">
        <w:t>propre au centre DPI</w:t>
      </w:r>
      <w:bookmarkEnd w:id="86"/>
      <w:bookmarkEnd w:id="87"/>
    </w:p>
    <w:p w14:paraId="7CF43ECE" w14:textId="77777777" w:rsidR="006A5189" w:rsidRPr="008B2E60" w:rsidRDefault="006A5189" w:rsidP="008B2E60"/>
    <w:p w14:paraId="62B64E69" w14:textId="50AF26C4" w:rsidR="008B2E60" w:rsidRPr="008B2E60" w:rsidRDefault="00BD7F4E" w:rsidP="008B2E60">
      <w:r w:rsidRPr="008B2E60">
        <w:t xml:space="preserve">Les réunions régulières du CPDPN rattaché au CDPI </w:t>
      </w:r>
      <w:r w:rsidR="008B2E60" w:rsidRPr="008B2E60">
        <w:t>de ………………</w:t>
      </w:r>
      <w:r w:rsidRPr="008B2E60">
        <w:t xml:space="preserve">sont organisées </w:t>
      </w:r>
      <w:r w:rsidR="008B2E60" w:rsidRPr="008B2E60">
        <w:t>tous les ……</w:t>
      </w:r>
    </w:p>
    <w:p w14:paraId="77BC77FA" w14:textId="63224C0A" w:rsidR="00BD7F4E" w:rsidRPr="008B2E60" w:rsidRDefault="008B2E60" w:rsidP="008B2E60">
      <w:r w:rsidRPr="008B2E60">
        <w:t xml:space="preserve">Sont présents </w:t>
      </w:r>
      <w:r w:rsidR="00BD7F4E" w:rsidRPr="008B2E60">
        <w:t>les praticiens du CDPI présentent les demandes des couples ou des femmes non mariées en vue d’un DPI.</w:t>
      </w:r>
    </w:p>
    <w:p w14:paraId="5B9A69A9" w14:textId="77777777" w:rsidR="008B2E60" w:rsidRPr="008B2E60" w:rsidRDefault="008B2E60" w:rsidP="008B2E60"/>
    <w:p w14:paraId="650A7D7A" w14:textId="77777777" w:rsidR="008B2E60" w:rsidRPr="008B2E60" w:rsidRDefault="00BD7F4E" w:rsidP="008B2E60">
      <w:r w:rsidRPr="008B2E60">
        <w:t xml:space="preserve">La faisabilité du DPI est évaluée et confirmée par les praticiens agréés du CDPI et par l’équipe médicale clinico-biologique pluridisciplinaire d’AMP. </w:t>
      </w:r>
    </w:p>
    <w:p w14:paraId="6CC8007C" w14:textId="77777777" w:rsidR="008B2E60" w:rsidRPr="008B2E60" w:rsidRDefault="008B2E60" w:rsidP="008B2E60"/>
    <w:p w14:paraId="7994593B" w14:textId="77777777" w:rsidR="008B2E60" w:rsidRPr="008B2E60" w:rsidRDefault="00BD7F4E" w:rsidP="008B2E60">
      <w:r w:rsidRPr="008B2E60">
        <w:t>Chaque indication de recourir au DPI retenue après cette concertation conduit le CPDPN à établir une attestation de recours au DPI, signée par un médecin qualifié en génétique médicale, membre du CPDPN de l’établissement dans lequel le DPI est autorisé</w:t>
      </w:r>
      <w:r w:rsidR="008B2E60" w:rsidRPr="008B2E60">
        <w:t>.</w:t>
      </w:r>
    </w:p>
    <w:p w14:paraId="15D5548C" w14:textId="34192DEA" w:rsidR="004B1FE3" w:rsidRPr="008B2E60" w:rsidRDefault="004B1FE3" w:rsidP="00BD7F4E"/>
    <w:p w14:paraId="2F2324E9" w14:textId="77777777" w:rsidR="006A5189" w:rsidRPr="0051121C" w:rsidRDefault="006A5189" w:rsidP="006A5189">
      <w:pPr>
        <w:pStyle w:val="Titre1"/>
        <w:rPr>
          <w:highlight w:val="yellow"/>
        </w:rPr>
      </w:pPr>
      <w:bookmarkStart w:id="88" w:name="_Toc211239515"/>
      <w:bookmarkStart w:id="89" w:name="_Toc21150316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60"/>
      <w:bookmarkEnd w:id="61"/>
      <w:r>
        <w:t>Réunions de concertation pluridisciplinaires du CDPI</w:t>
      </w:r>
      <w:bookmarkEnd w:id="88"/>
      <w:bookmarkEnd w:id="89"/>
      <w:r>
        <w:t xml:space="preserve"> </w:t>
      </w:r>
    </w:p>
    <w:p w14:paraId="724BC8F8" w14:textId="77777777" w:rsidR="006A5189" w:rsidRDefault="006A5189" w:rsidP="006A5189"/>
    <w:p w14:paraId="6069D97D" w14:textId="1E42A6AA" w:rsidR="006A5189" w:rsidRPr="003C2598" w:rsidRDefault="0021686A" w:rsidP="006A5189">
      <w:pPr>
        <w:shd w:val="clear" w:color="auto" w:fill="F2F2F2" w:themeFill="background1" w:themeFillShade="F2"/>
        <w:rPr>
          <w:i/>
          <w:iCs/>
        </w:rPr>
      </w:pPr>
      <w:r w:rsidRPr="00F5008E">
        <w:rPr>
          <w:i/>
          <w:iCs/>
        </w:rPr>
        <w:t xml:space="preserve">Décrire les </w:t>
      </w:r>
      <w:r w:rsidR="00733FBB" w:rsidRPr="00F5008E">
        <w:rPr>
          <w:i/>
          <w:iCs/>
        </w:rPr>
        <w:t>m</w:t>
      </w:r>
      <w:r w:rsidR="006A5189" w:rsidRPr="003C2598">
        <w:rPr>
          <w:i/>
          <w:iCs/>
        </w:rPr>
        <w:t>odalités d’organisation des réunions pluridisciplinaires (lieu,</w:t>
      </w:r>
      <w:r w:rsidR="00F659B6" w:rsidRPr="003C2598">
        <w:rPr>
          <w:i/>
          <w:iCs/>
        </w:rPr>
        <w:t xml:space="preserve"> types,</w:t>
      </w:r>
      <w:r w:rsidR="006A5189" w:rsidRPr="003C2598">
        <w:rPr>
          <w:i/>
          <w:iCs/>
        </w:rPr>
        <w:t xml:space="preserve"> fréquence,</w:t>
      </w:r>
      <w:r w:rsidR="00F659B6" w:rsidRPr="003C2598">
        <w:rPr>
          <w:i/>
          <w:iCs/>
        </w:rPr>
        <w:t xml:space="preserve"> fonction des personnes présentes,</w:t>
      </w:r>
      <w:r w:rsidR="006A5189" w:rsidRPr="003C2598">
        <w:rPr>
          <w:i/>
          <w:iCs/>
        </w:rPr>
        <w:t xml:space="preserve"> ordre du jour, animation, compte-rendu) </w:t>
      </w:r>
    </w:p>
    <w:p w14:paraId="1640EF37" w14:textId="376BA6BE" w:rsidR="00862B65" w:rsidRDefault="00862B65" w:rsidP="006A5189">
      <w:pPr>
        <w:shd w:val="clear" w:color="auto" w:fill="F2F2F2" w:themeFill="background1" w:themeFillShade="F2"/>
        <w:rPr>
          <w:i/>
          <w:iCs/>
        </w:rPr>
      </w:pPr>
    </w:p>
    <w:p w14:paraId="37E886DD" w14:textId="569A2AF8" w:rsidR="00862B65" w:rsidRPr="00A75E2C" w:rsidRDefault="00862B65" w:rsidP="006A5189">
      <w:pPr>
        <w:shd w:val="clear" w:color="auto" w:fill="F2F2F2" w:themeFill="background1" w:themeFillShade="F2"/>
        <w:rPr>
          <w:i/>
          <w:iCs/>
        </w:rPr>
      </w:pPr>
      <w:r>
        <w:rPr>
          <w:i/>
          <w:iCs/>
        </w:rPr>
        <w:t xml:space="preserve">Prendre en compte les éléments suivants </w:t>
      </w:r>
      <w:r w:rsidR="0021686A">
        <w:rPr>
          <w:i/>
          <w:iCs/>
        </w:rPr>
        <w:t xml:space="preserve">pour décrire les modalités </w:t>
      </w:r>
      <w:r w:rsidR="00733FBB">
        <w:rPr>
          <w:i/>
          <w:iCs/>
        </w:rPr>
        <w:t>spécifiques au centre et utiles en termes organisationnels :</w:t>
      </w:r>
    </w:p>
    <w:p w14:paraId="57C972F1" w14:textId="77777777" w:rsidR="006A5189" w:rsidRDefault="006A5189" w:rsidP="00F659B6"/>
    <w:p w14:paraId="0031CFC1" w14:textId="760E213D" w:rsidR="00F659B6" w:rsidRPr="00733FBB" w:rsidRDefault="00F659B6" w:rsidP="00F5008E">
      <w:pPr>
        <w:pStyle w:val="Titre2"/>
      </w:pPr>
      <w:bookmarkStart w:id="90" w:name="_Toc211239516"/>
      <w:bookmarkStart w:id="91" w:name="_Toc211503169"/>
      <w:r w:rsidRPr="00733FBB">
        <w:t>Réunions propres au CDPI</w:t>
      </w:r>
      <w:bookmarkEnd w:id="90"/>
      <w:bookmarkEnd w:id="91"/>
      <w:r w:rsidRPr="00733FBB">
        <w:t> </w:t>
      </w:r>
    </w:p>
    <w:p w14:paraId="488D32EE" w14:textId="77777777" w:rsidR="00F659B6" w:rsidRPr="00F5008E" w:rsidRDefault="00F659B6" w:rsidP="00F659B6">
      <w:pPr>
        <w:pStyle w:val="Paragraphedeliste"/>
        <w:rPr>
          <w:i/>
          <w:iCs/>
        </w:rPr>
      </w:pPr>
    </w:p>
    <w:p w14:paraId="648FDFA3" w14:textId="77777777" w:rsidR="00F659B6" w:rsidRPr="00F5008E" w:rsidRDefault="00F659B6" w:rsidP="00F5008E">
      <w:pPr>
        <w:shd w:val="clear" w:color="auto" w:fill="F2F2F2" w:themeFill="background1" w:themeFillShade="F2"/>
        <w:rPr>
          <w:i/>
          <w:iCs/>
        </w:rPr>
      </w:pPr>
      <w:r w:rsidRPr="00F5008E">
        <w:rPr>
          <w:i/>
          <w:iCs/>
        </w:rPr>
        <w:t>- Objectifs faire</w:t>
      </w:r>
      <w:r w:rsidR="006A5189" w:rsidRPr="00F5008E">
        <w:rPr>
          <w:i/>
          <w:iCs/>
        </w:rPr>
        <w:t xml:space="preserve"> le point sur les dossiers en cours, en particulier sur les aspects de faisabilité de l’AMP et du diagnostic génétique et, le cas échéant, l’état des décisions du CPDPN. </w:t>
      </w:r>
    </w:p>
    <w:p w14:paraId="43F6D100" w14:textId="77777777" w:rsidR="00F659B6" w:rsidRPr="00F5008E" w:rsidRDefault="00F659B6" w:rsidP="00F5008E">
      <w:pPr>
        <w:shd w:val="clear" w:color="auto" w:fill="F2F2F2" w:themeFill="background1" w:themeFillShade="F2"/>
        <w:rPr>
          <w:i/>
          <w:iCs/>
        </w:rPr>
      </w:pPr>
      <w:r w:rsidRPr="00F5008E">
        <w:rPr>
          <w:i/>
          <w:iCs/>
        </w:rPr>
        <w:t xml:space="preserve">- </w:t>
      </w:r>
      <w:r w:rsidR="006A5189" w:rsidRPr="00F5008E">
        <w:rPr>
          <w:i/>
          <w:iCs/>
        </w:rPr>
        <w:t xml:space="preserve">Des praticiens de l’AMP, biologique et clinique, et de la génétique doivent être présents et, le cas échéant, les autres professionnels impliqués dans la gestion médicale du dossier des couples ou des femmes non mariées pris en charge, notamment conseiller en génétique, psychiatre ou psychologue. </w:t>
      </w:r>
      <w:r w:rsidRPr="00F5008E">
        <w:rPr>
          <w:i/>
          <w:iCs/>
        </w:rPr>
        <w:t xml:space="preserve">-- </w:t>
      </w:r>
      <w:r w:rsidR="006A5189" w:rsidRPr="00F5008E">
        <w:rPr>
          <w:i/>
          <w:iCs/>
        </w:rPr>
        <w:t xml:space="preserve">Dans la mesure du possible le ou la secrétaire du centre de DPI assiste aux réunions. </w:t>
      </w:r>
    </w:p>
    <w:p w14:paraId="4519A91C" w14:textId="72DC1BB1" w:rsidR="00F659B6" w:rsidRPr="00F5008E" w:rsidRDefault="00F659B6" w:rsidP="00F5008E">
      <w:pPr>
        <w:shd w:val="clear" w:color="auto" w:fill="F2F2F2" w:themeFill="background1" w:themeFillShade="F2"/>
        <w:rPr>
          <w:i/>
          <w:iCs/>
        </w:rPr>
      </w:pPr>
      <w:r w:rsidRPr="00F5008E">
        <w:rPr>
          <w:i/>
          <w:iCs/>
        </w:rPr>
        <w:t xml:space="preserve">- </w:t>
      </w:r>
      <w:r w:rsidR="006A5189" w:rsidRPr="00F5008E">
        <w:rPr>
          <w:i/>
          <w:iCs/>
        </w:rPr>
        <w:t>Les éléments discutés font l’objet d’un compte-rendu</w:t>
      </w:r>
      <w:r w:rsidR="005070CF" w:rsidRPr="00F5008E">
        <w:rPr>
          <w:i/>
          <w:iCs/>
        </w:rPr>
        <w:t xml:space="preserve"> systématique</w:t>
      </w:r>
      <w:r w:rsidR="006A5189" w:rsidRPr="00F5008E">
        <w:rPr>
          <w:i/>
          <w:iCs/>
        </w:rPr>
        <w:t xml:space="preserve"> conservé dans le dossier médical informatisé de chaque couple ou femme non mariée.</w:t>
      </w:r>
    </w:p>
    <w:p w14:paraId="6642BE18" w14:textId="77777777" w:rsidR="00F659B6" w:rsidRPr="00F5008E" w:rsidRDefault="00F659B6" w:rsidP="00F5008E">
      <w:pPr>
        <w:shd w:val="clear" w:color="auto" w:fill="F2F2F2" w:themeFill="background1" w:themeFillShade="F2"/>
        <w:rPr>
          <w:i/>
          <w:iCs/>
        </w:rPr>
      </w:pPr>
      <w:r w:rsidRPr="00F5008E">
        <w:rPr>
          <w:i/>
          <w:iCs/>
        </w:rPr>
        <w:t xml:space="preserve">- Sur le plan de l’AMP, l’évaluation du dossier est réalisée selon les critères cliniques et biologiques de prise en charge des couples ou des femmes non mariées définis et régulièrement revus par l’équipe d’AMP. Le cas échéant, différents facteurs tels que le bilan de la réserve ovarienne peuvent être pris en compte dans la prise en charge des couples ou des femmes non mariées afin d’apprécier les chances de succès du DPI. </w:t>
      </w:r>
    </w:p>
    <w:p w14:paraId="09A782D2" w14:textId="37806BE9" w:rsidR="00F659B6" w:rsidRPr="00F5008E" w:rsidRDefault="00F659B6" w:rsidP="00F5008E">
      <w:pPr>
        <w:shd w:val="clear" w:color="auto" w:fill="F2F2F2" w:themeFill="background1" w:themeFillShade="F2"/>
        <w:rPr>
          <w:i/>
          <w:iCs/>
        </w:rPr>
      </w:pPr>
      <w:r w:rsidRPr="00F5008E">
        <w:rPr>
          <w:i/>
          <w:iCs/>
        </w:rPr>
        <w:lastRenderedPageBreak/>
        <w:t>- Sur le plan génétique, l’évaluation porte sur la faisabilité technique de l’analyse génétique sur prélèvement embryonnaire en fonction du diagnostic et des échantillons nécessaires pour la mise au point et la réalisation du DPI.</w:t>
      </w:r>
    </w:p>
    <w:p w14:paraId="7972A65E" w14:textId="77777777" w:rsidR="006A5189" w:rsidRPr="00F5008E" w:rsidRDefault="006A5189" w:rsidP="00F5008E">
      <w:pPr>
        <w:shd w:val="clear" w:color="auto" w:fill="F2F2F2" w:themeFill="background1" w:themeFillShade="F2"/>
        <w:rPr>
          <w:i/>
          <w:iCs/>
        </w:rPr>
      </w:pPr>
    </w:p>
    <w:p w14:paraId="519720F1" w14:textId="4E11149C" w:rsidR="00F659B6" w:rsidRPr="00733FBB" w:rsidRDefault="00B63224" w:rsidP="00F5008E">
      <w:pPr>
        <w:pStyle w:val="Titre2"/>
      </w:pPr>
      <w:bookmarkStart w:id="92" w:name="_Toc211503170"/>
      <w:bookmarkStart w:id="93" w:name="_Toc211239517"/>
      <w:r>
        <w:t>R</w:t>
      </w:r>
      <w:r w:rsidR="006A5189" w:rsidRPr="00733FBB">
        <w:t>éunions régulières du CPDPN rattaché au CDPI</w:t>
      </w:r>
      <w:bookmarkEnd w:id="92"/>
      <w:r w:rsidR="00D71729" w:rsidRPr="00733FBB">
        <w:t> </w:t>
      </w:r>
      <w:bookmarkEnd w:id="93"/>
    </w:p>
    <w:p w14:paraId="215BD136" w14:textId="77777777" w:rsidR="00D71729" w:rsidRPr="00F5008E" w:rsidRDefault="00D71729" w:rsidP="00D71729">
      <w:pPr>
        <w:pStyle w:val="Paragraphedeliste"/>
        <w:rPr>
          <w:i/>
          <w:iCs/>
        </w:rPr>
      </w:pPr>
    </w:p>
    <w:p w14:paraId="633C2572" w14:textId="77777777" w:rsidR="00F659B6" w:rsidRPr="00F5008E" w:rsidRDefault="00F659B6" w:rsidP="00F5008E">
      <w:pPr>
        <w:shd w:val="clear" w:color="auto" w:fill="F2F2F2" w:themeFill="background1" w:themeFillShade="F2"/>
        <w:rPr>
          <w:i/>
          <w:iCs/>
        </w:rPr>
      </w:pPr>
      <w:r w:rsidRPr="00F5008E">
        <w:rPr>
          <w:i/>
          <w:iCs/>
        </w:rPr>
        <w:t>- L</w:t>
      </w:r>
      <w:r w:rsidR="006A5189" w:rsidRPr="00F5008E">
        <w:rPr>
          <w:i/>
          <w:iCs/>
        </w:rPr>
        <w:t>es praticiens du CDPI présentent les demandes des couples ou des femmes non mariées en vue d’un DPI.</w:t>
      </w:r>
      <w:r w:rsidRPr="00F5008E">
        <w:rPr>
          <w:i/>
          <w:iCs/>
        </w:rPr>
        <w:t xml:space="preserve"> </w:t>
      </w:r>
    </w:p>
    <w:p w14:paraId="4F59DFC5" w14:textId="77777777" w:rsidR="00F659B6" w:rsidRPr="00F5008E" w:rsidRDefault="00F659B6" w:rsidP="00F5008E">
      <w:pPr>
        <w:shd w:val="clear" w:color="auto" w:fill="F2F2F2" w:themeFill="background1" w:themeFillShade="F2"/>
        <w:rPr>
          <w:i/>
          <w:iCs/>
        </w:rPr>
      </w:pPr>
      <w:r w:rsidRPr="00F5008E">
        <w:rPr>
          <w:i/>
          <w:iCs/>
        </w:rPr>
        <w:t xml:space="preserve">- Sont présents </w:t>
      </w:r>
      <w:r w:rsidR="006A5189" w:rsidRPr="00F5008E">
        <w:rPr>
          <w:i/>
          <w:iCs/>
        </w:rPr>
        <w:t xml:space="preserve">les praticiens du CPDPN et le ou les praticiens agréés pour les activités de DPI. </w:t>
      </w:r>
    </w:p>
    <w:p w14:paraId="553CF4BE" w14:textId="234EB26B" w:rsidR="00F659B6" w:rsidRPr="00F5008E" w:rsidRDefault="00F659B6" w:rsidP="00F5008E">
      <w:pPr>
        <w:shd w:val="clear" w:color="auto" w:fill="F2F2F2" w:themeFill="background1" w:themeFillShade="F2"/>
        <w:rPr>
          <w:i/>
          <w:iCs/>
        </w:rPr>
      </w:pPr>
      <w:r w:rsidRPr="00F5008E">
        <w:rPr>
          <w:i/>
          <w:iCs/>
        </w:rPr>
        <w:t xml:space="preserve">- </w:t>
      </w:r>
      <w:r w:rsidR="006A5189" w:rsidRPr="00F5008E">
        <w:rPr>
          <w:i/>
          <w:iCs/>
        </w:rPr>
        <w:t xml:space="preserve">La faisabilité du DPI est évaluée et confirmée par les praticiens agréés du CDPI et par l’équipe médicale </w:t>
      </w:r>
      <w:r w:rsidRPr="00F5008E">
        <w:rPr>
          <w:i/>
          <w:iCs/>
        </w:rPr>
        <w:t>clinico- biologique</w:t>
      </w:r>
      <w:r w:rsidR="006A5189" w:rsidRPr="00F5008E">
        <w:rPr>
          <w:i/>
          <w:iCs/>
        </w:rPr>
        <w:t xml:space="preserve"> pluridisciplinaire d’AMP. </w:t>
      </w:r>
    </w:p>
    <w:p w14:paraId="52B0A37A" w14:textId="13879788" w:rsidR="006A5189" w:rsidRPr="00F5008E" w:rsidRDefault="00F659B6" w:rsidP="00F5008E">
      <w:pPr>
        <w:shd w:val="clear" w:color="auto" w:fill="F2F2F2" w:themeFill="background1" w:themeFillShade="F2"/>
        <w:rPr>
          <w:i/>
          <w:iCs/>
        </w:rPr>
      </w:pPr>
      <w:r w:rsidRPr="00F5008E">
        <w:rPr>
          <w:i/>
          <w:iCs/>
        </w:rPr>
        <w:t xml:space="preserve">- </w:t>
      </w:r>
      <w:r w:rsidR="006A5189" w:rsidRPr="00F5008E">
        <w:rPr>
          <w:i/>
          <w:iCs/>
        </w:rPr>
        <w:t>Chaque indication de recourir au DPI retenue après cette concertation conduit le CPDPN à établir une attestation de recours au DPI, signée par un médecin qualifié en génétique médicale, membre du CPDPN de l’établissement dans lequel le DPI est autorisé.</w:t>
      </w:r>
    </w:p>
    <w:p w14:paraId="27052D61" w14:textId="7C704E03" w:rsidR="004B7B7D" w:rsidRPr="00862B65" w:rsidRDefault="00A75E2C" w:rsidP="00BD7F4E">
      <w:pPr>
        <w:pStyle w:val="Titre1"/>
      </w:pPr>
      <w:bookmarkStart w:id="94" w:name="_Toc211239518"/>
      <w:bookmarkStart w:id="95" w:name="_Toc211503171"/>
      <w:r w:rsidRPr="00862B65">
        <w:t>Actions de formation</w:t>
      </w:r>
      <w:bookmarkEnd w:id="94"/>
      <w:bookmarkEnd w:id="95"/>
    </w:p>
    <w:p w14:paraId="0CAAA54D" w14:textId="77777777" w:rsidR="004B7B7D" w:rsidRPr="00862B65" w:rsidRDefault="004B7B7D" w:rsidP="004B7B7D"/>
    <w:p w14:paraId="262E4282" w14:textId="2AC74896" w:rsidR="004B7B7D" w:rsidRDefault="00733FBB" w:rsidP="00F5008E">
      <w:pPr>
        <w:shd w:val="clear" w:color="auto" w:fill="F2F2F2" w:themeFill="background1" w:themeFillShade="F2"/>
      </w:pPr>
      <w:r>
        <w:t xml:space="preserve">Décrire </w:t>
      </w:r>
      <w:r w:rsidR="003C2598">
        <w:t>succinctement</w:t>
      </w:r>
      <w:r>
        <w:t xml:space="preserve"> les m</w:t>
      </w:r>
      <w:r w:rsidR="004B7B7D" w:rsidRPr="00F5008E">
        <w:t xml:space="preserve">odalités d’organisation des formations délivrées (fréquence, suivi, contenu) </w:t>
      </w:r>
    </w:p>
    <w:p w14:paraId="407FCDAF" w14:textId="607D4F48" w:rsidR="00606409" w:rsidRPr="00B75911" w:rsidRDefault="00A75E2C" w:rsidP="00606409">
      <w:pPr>
        <w:pStyle w:val="Titre1"/>
      </w:pPr>
      <w:bookmarkStart w:id="96" w:name="_Toc211239519"/>
      <w:bookmarkStart w:id="97" w:name="_Toc211503172"/>
      <w:r w:rsidRPr="00B75911">
        <w:t>Rapport d’activit</w:t>
      </w:r>
      <w:r w:rsidRPr="00B75911">
        <w:rPr>
          <w:rFonts w:hint="eastAsia"/>
        </w:rPr>
        <w:t>é</w:t>
      </w:r>
      <w:bookmarkEnd w:id="96"/>
      <w:bookmarkEnd w:id="97"/>
    </w:p>
    <w:p w14:paraId="31D51E86" w14:textId="5800D5A4" w:rsidR="0072562E" w:rsidRDefault="0072562E" w:rsidP="00F5008E"/>
    <w:p w14:paraId="3310E20D" w14:textId="150605EC" w:rsidR="0072562E" w:rsidRDefault="0072562E" w:rsidP="00F5008E">
      <w:r w:rsidRPr="0072562E">
        <w:t xml:space="preserve">Préciser ici les modalités d’élaboration et de validation du rapport annuel d’activité conformément aux modalités de l’Agence de la Biomédecine (indications d’inclusion, </w:t>
      </w:r>
      <w:r w:rsidRPr="00F5008E">
        <w:rPr>
          <w:i/>
          <w:iCs/>
        </w:rPr>
        <w:t>etc.</w:t>
      </w:r>
      <w:r w:rsidRPr="0072562E">
        <w:t>) :</w:t>
      </w:r>
    </w:p>
    <w:p w14:paraId="1472DC0D" w14:textId="77777777" w:rsidR="0072562E" w:rsidRDefault="0072562E"/>
    <w:p w14:paraId="52600B9C" w14:textId="6ADCB087" w:rsidR="00733FBB" w:rsidRPr="00F5008E" w:rsidRDefault="00733FBB" w:rsidP="00F5008E">
      <w:pPr>
        <w:pStyle w:val="Paragraphedeliste"/>
        <w:numPr>
          <w:ilvl w:val="0"/>
          <w:numId w:val="51"/>
        </w:numPr>
        <w:shd w:val="clear" w:color="auto" w:fill="F2F2F2" w:themeFill="background1" w:themeFillShade="F2"/>
        <w:rPr>
          <w:i/>
          <w:iCs/>
        </w:rPr>
      </w:pPr>
      <w:r w:rsidRPr="00F5008E">
        <w:rPr>
          <w:i/>
          <w:iCs/>
        </w:rPr>
        <w:t>Confirmer que le coordonnateur est en charge, en lien avec les autres praticiens, de l’ensemble des données du rapport annuel d’activité.</w:t>
      </w:r>
    </w:p>
    <w:p w14:paraId="3B64BA4C" w14:textId="6A5A9E23" w:rsidR="00733FBB" w:rsidRPr="00F5008E" w:rsidRDefault="00733FBB" w:rsidP="00F5008E">
      <w:pPr>
        <w:pStyle w:val="Paragraphedeliste"/>
        <w:numPr>
          <w:ilvl w:val="0"/>
          <w:numId w:val="51"/>
        </w:numPr>
        <w:shd w:val="clear" w:color="auto" w:fill="F2F2F2" w:themeFill="background1" w:themeFillShade="F2"/>
        <w:rPr>
          <w:i/>
          <w:iCs/>
        </w:rPr>
      </w:pPr>
      <w:r w:rsidRPr="00F5008E">
        <w:rPr>
          <w:i/>
          <w:iCs/>
        </w:rPr>
        <w:t xml:space="preserve">Concernant le registre confirmer que </w:t>
      </w:r>
      <w:r w:rsidR="003C2598">
        <w:rPr>
          <w:i/>
          <w:iCs/>
        </w:rPr>
        <w:t>l</w:t>
      </w:r>
      <w:r w:rsidRPr="00F5008E">
        <w:rPr>
          <w:i/>
          <w:iCs/>
        </w:rPr>
        <w:t>es tentatives d’AMP réalisées dans le cadre du DPI sont également soumises à déclaration dans le Registre national d’assistance médicale à la procréation mis en place par l’Agence de la biomédecine.</w:t>
      </w:r>
    </w:p>
    <w:p w14:paraId="5308CD70" w14:textId="05274EE2" w:rsidR="00733FBB" w:rsidRPr="00F5008E" w:rsidRDefault="00733FBB" w:rsidP="00F5008E">
      <w:pPr>
        <w:pStyle w:val="Paragraphedeliste"/>
        <w:numPr>
          <w:ilvl w:val="0"/>
          <w:numId w:val="51"/>
        </w:numPr>
        <w:shd w:val="clear" w:color="auto" w:fill="F2F2F2" w:themeFill="background1" w:themeFillShade="F2"/>
        <w:rPr>
          <w:i/>
          <w:iCs/>
        </w:rPr>
      </w:pPr>
      <w:r w:rsidRPr="00F5008E">
        <w:rPr>
          <w:i/>
          <w:iCs/>
        </w:rPr>
        <w:t>Confirmer que le rapport est validé par les praticiens agréés de chaque domaine (prélèvement de cellules embryonnaires, cytogénétique, génétique moléculaire) avant la transmission à l’Agence de la biomédecine.</w:t>
      </w:r>
    </w:p>
    <w:p w14:paraId="6019F6A3" w14:textId="77777777" w:rsidR="00D915F9" w:rsidRPr="00D915F9" w:rsidRDefault="00D915F9" w:rsidP="00D915F9"/>
    <w:p w14:paraId="25452E04" w14:textId="3F0215C0" w:rsidR="00606409" w:rsidRDefault="00606409" w:rsidP="00606409">
      <w:pPr>
        <w:pStyle w:val="Titre1"/>
      </w:pPr>
      <w:bookmarkStart w:id="98" w:name="_Toc211239522"/>
      <w:bookmarkStart w:id="99" w:name="_Toc211503173"/>
      <w:r w:rsidRPr="00014C9A">
        <w:t xml:space="preserve">ARTICLE </w:t>
      </w:r>
      <w:r w:rsidR="00867DFD">
        <w:t>5</w:t>
      </w:r>
      <w:r>
        <w:t> : MANAGEMENT QUALITE ET VIGILANCE</w:t>
      </w:r>
      <w:bookmarkEnd w:id="98"/>
      <w:bookmarkEnd w:id="99"/>
    </w:p>
    <w:p w14:paraId="6A03112A" w14:textId="77777777" w:rsidR="00606409" w:rsidRDefault="00606409" w:rsidP="00606409"/>
    <w:p w14:paraId="12B65D90" w14:textId="082967D7" w:rsidR="00606409" w:rsidRDefault="00606409" w:rsidP="00CA3D34">
      <w:pPr>
        <w:pStyle w:val="Titre2"/>
      </w:pPr>
      <w:bookmarkStart w:id="100" w:name="_Toc211239523"/>
      <w:bookmarkStart w:id="101" w:name="_Toc211503174"/>
      <w:r w:rsidRPr="00606409">
        <w:t>Management de la qualité</w:t>
      </w:r>
      <w:bookmarkEnd w:id="100"/>
      <w:bookmarkEnd w:id="101"/>
    </w:p>
    <w:p w14:paraId="793026F7" w14:textId="77777777" w:rsidR="00606409" w:rsidRDefault="00606409" w:rsidP="00606409"/>
    <w:p w14:paraId="4753C0C6" w14:textId="25944196" w:rsidR="00606409" w:rsidRDefault="00606409" w:rsidP="00DB618D">
      <w:pPr>
        <w:pStyle w:val="Titre3"/>
      </w:pPr>
      <w:bookmarkStart w:id="102" w:name="_Toc211239524"/>
      <w:bookmarkStart w:id="103" w:name="_Toc211503175"/>
      <w:r>
        <w:t>Généralités</w:t>
      </w:r>
      <w:bookmarkEnd w:id="102"/>
      <w:bookmarkEnd w:id="103"/>
    </w:p>
    <w:p w14:paraId="43A4D323" w14:textId="6A89D635" w:rsidR="00FF0C04" w:rsidRDefault="00FF0C04" w:rsidP="00FF0C04"/>
    <w:p w14:paraId="5F0CEC50" w14:textId="250C0133" w:rsidR="005F06E9" w:rsidRPr="00F5008E" w:rsidRDefault="009F552E" w:rsidP="00F5008E">
      <w:pPr>
        <w:shd w:val="clear" w:color="auto" w:fill="F2F2F2" w:themeFill="background1" w:themeFillShade="F2"/>
        <w:rPr>
          <w:i/>
          <w:iCs/>
        </w:rPr>
      </w:pPr>
      <w:r w:rsidRPr="00F5008E">
        <w:rPr>
          <w:i/>
          <w:iCs/>
        </w:rPr>
        <w:t>Le mode de fonctionnement est formalisé par un document contractuel validé par les trois composantes</w:t>
      </w:r>
      <w:r w:rsidR="005F06E9">
        <w:t xml:space="preserve"> (type contrat de collaboration)</w:t>
      </w:r>
    </w:p>
    <w:p w14:paraId="2BF2082E" w14:textId="305BC368" w:rsidR="004A0887" w:rsidRDefault="004A0887" w:rsidP="00F5008E">
      <w:pPr>
        <w:shd w:val="clear" w:color="auto" w:fill="F2F2F2" w:themeFill="background1" w:themeFillShade="F2"/>
      </w:pPr>
    </w:p>
    <w:p w14:paraId="69968C01" w14:textId="2A92CA85" w:rsidR="003C2598" w:rsidRPr="00F5008E" w:rsidRDefault="00F237DD" w:rsidP="00F5008E">
      <w:pPr>
        <w:shd w:val="clear" w:color="auto" w:fill="F2F2F2" w:themeFill="background1" w:themeFillShade="F2"/>
        <w:rPr>
          <w:i/>
          <w:iCs/>
        </w:rPr>
      </w:pPr>
      <w:r>
        <w:rPr>
          <w:i/>
          <w:iCs/>
        </w:rPr>
        <w:t xml:space="preserve">Identifier </w:t>
      </w:r>
      <w:r w:rsidRPr="00F237DD">
        <w:rPr>
          <w:i/>
          <w:iCs/>
        </w:rPr>
        <w:t>les personnes en charge de la qualité et décrire</w:t>
      </w:r>
      <w:r w:rsidR="005D596A" w:rsidRPr="00F237DD">
        <w:rPr>
          <w:i/>
          <w:iCs/>
        </w:rPr>
        <w:t xml:space="preserve"> les interfaces mises en place entre les trois composantes</w:t>
      </w:r>
      <w:r w:rsidRPr="00F237DD">
        <w:rPr>
          <w:i/>
          <w:iCs/>
        </w:rPr>
        <w:t xml:space="preserve"> </w:t>
      </w:r>
      <w:r w:rsidR="005D596A" w:rsidRPr="00F237DD">
        <w:rPr>
          <w:i/>
          <w:iCs/>
        </w:rPr>
        <w:t xml:space="preserve">médecine et biologie de la reproduction, </w:t>
      </w:r>
      <w:r w:rsidR="005D596A" w:rsidRPr="00F5008E">
        <w:rPr>
          <w:i/>
          <w:iCs/>
        </w:rPr>
        <w:t xml:space="preserve">diagnostics cytogénétique sur la ou les cellules embryonnaires </w:t>
      </w:r>
      <w:r w:rsidR="003C2598">
        <w:rPr>
          <w:i/>
          <w:iCs/>
        </w:rPr>
        <w:t xml:space="preserve">et </w:t>
      </w:r>
      <w:r w:rsidR="005D596A" w:rsidRPr="00F5008E">
        <w:rPr>
          <w:i/>
          <w:iCs/>
        </w:rPr>
        <w:t>diagnostic de génétique moléculaire sur la ou les cellules embryonnaires</w:t>
      </w:r>
      <w:r w:rsidR="009F552E" w:rsidRPr="00F5008E">
        <w:rPr>
          <w:i/>
          <w:iCs/>
        </w:rPr>
        <w:t xml:space="preserve"> </w:t>
      </w:r>
      <w:r w:rsidR="00BA3A2D" w:rsidRPr="00F5008E">
        <w:rPr>
          <w:i/>
          <w:iCs/>
        </w:rPr>
        <w:t>en prenant en compte les éléments suivants</w:t>
      </w:r>
      <w:r w:rsidR="003C2598" w:rsidRPr="00F5008E">
        <w:rPr>
          <w:i/>
          <w:iCs/>
        </w:rPr>
        <w:t> :</w:t>
      </w:r>
    </w:p>
    <w:p w14:paraId="6EFD3814" w14:textId="5C700D15" w:rsidR="003C2598" w:rsidRPr="00F5008E" w:rsidRDefault="003C2598" w:rsidP="00F5008E">
      <w:pPr>
        <w:pStyle w:val="Paragraphedeliste"/>
        <w:numPr>
          <w:ilvl w:val="0"/>
          <w:numId w:val="52"/>
        </w:numPr>
        <w:shd w:val="clear" w:color="auto" w:fill="F2F2F2" w:themeFill="background1" w:themeFillShade="F2"/>
        <w:rPr>
          <w:i/>
          <w:iCs/>
        </w:rPr>
      </w:pPr>
      <w:r w:rsidRPr="00F5008E">
        <w:rPr>
          <w:i/>
          <w:iCs/>
        </w:rPr>
        <w:t>La personne responsable (PR) ou le coordonnateur du CDPI veille au respect des dispositions législatives et réglementaires, notamment celles relatives à la qualité, la sécurité et la traçabilité des gamètes, des embryons et des biopsies embryonnaires.</w:t>
      </w:r>
    </w:p>
    <w:p w14:paraId="2E5ECEDD" w14:textId="51B2C461" w:rsidR="003C2598" w:rsidRPr="00F5008E" w:rsidRDefault="003C2598" w:rsidP="00F5008E">
      <w:pPr>
        <w:pStyle w:val="Paragraphedeliste"/>
        <w:numPr>
          <w:ilvl w:val="0"/>
          <w:numId w:val="52"/>
        </w:numPr>
        <w:shd w:val="clear" w:color="auto" w:fill="F2F2F2" w:themeFill="background1" w:themeFillShade="F2"/>
        <w:rPr>
          <w:i/>
          <w:iCs/>
        </w:rPr>
      </w:pPr>
      <w:r w:rsidRPr="00F5008E">
        <w:rPr>
          <w:i/>
          <w:iCs/>
        </w:rPr>
        <w:t xml:space="preserve">L’ensemble des dispositions décrites dans le chapitre des dispositions générales du système qualité de l’arrêté relatif aux règles de bonnes pratiques cliniques et biologiques d’AMP s’applique pour la partie AMP du DPI. </w:t>
      </w:r>
    </w:p>
    <w:p w14:paraId="6309B69A" w14:textId="5224B0B4" w:rsidR="003C2598" w:rsidRPr="00F5008E" w:rsidRDefault="003C2598" w:rsidP="00F5008E">
      <w:pPr>
        <w:pStyle w:val="Paragraphedeliste"/>
        <w:numPr>
          <w:ilvl w:val="0"/>
          <w:numId w:val="52"/>
        </w:numPr>
        <w:shd w:val="clear" w:color="auto" w:fill="F2F2F2" w:themeFill="background1" w:themeFillShade="F2"/>
        <w:rPr>
          <w:i/>
          <w:iCs/>
        </w:rPr>
      </w:pPr>
      <w:r w:rsidRPr="00F5008E">
        <w:rPr>
          <w:i/>
          <w:iCs/>
        </w:rPr>
        <w:t>Les activités de diagnostic génétique font l’objet d’une accréditation et le système qualité du laboratoire s’applique aux actes diagnostiques du DPI.</w:t>
      </w:r>
    </w:p>
    <w:p w14:paraId="563AA57B" w14:textId="11A00DF8" w:rsidR="00D96E6B" w:rsidRPr="00F5008E" w:rsidRDefault="003C2598" w:rsidP="00F5008E">
      <w:pPr>
        <w:pStyle w:val="Paragraphedeliste"/>
        <w:numPr>
          <w:ilvl w:val="0"/>
          <w:numId w:val="52"/>
        </w:numPr>
        <w:shd w:val="clear" w:color="auto" w:fill="F2F2F2" w:themeFill="background1" w:themeFillShade="F2"/>
        <w:rPr>
          <w:i/>
          <w:iCs/>
        </w:rPr>
      </w:pPr>
      <w:r w:rsidRPr="00F5008E">
        <w:rPr>
          <w:i/>
          <w:iCs/>
        </w:rPr>
        <w:lastRenderedPageBreak/>
        <w:t>Ce management a pour but </w:t>
      </w:r>
      <w:r w:rsidR="009F552E" w:rsidRPr="00F5008E">
        <w:rPr>
          <w:i/>
          <w:iCs/>
        </w:rPr>
        <w:t xml:space="preserve">(1) </w:t>
      </w:r>
      <w:r w:rsidRPr="00F5008E">
        <w:rPr>
          <w:i/>
          <w:iCs/>
        </w:rPr>
        <w:t>l’amélioration continue</w:t>
      </w:r>
      <w:r w:rsidR="009F552E" w:rsidRPr="00F5008E">
        <w:rPr>
          <w:i/>
          <w:iCs/>
        </w:rPr>
        <w:t>, (2) l</w:t>
      </w:r>
      <w:r w:rsidRPr="00F5008E">
        <w:rPr>
          <w:i/>
          <w:iCs/>
        </w:rPr>
        <w:t xml:space="preserve">e respect des exigences réglementaires des produits/activités/prise en charge </w:t>
      </w:r>
      <w:r w:rsidR="009F552E" w:rsidRPr="00F5008E">
        <w:rPr>
          <w:i/>
          <w:iCs/>
        </w:rPr>
        <w:t>(3) la</w:t>
      </w:r>
      <w:r w:rsidRPr="00F5008E">
        <w:rPr>
          <w:i/>
          <w:iCs/>
        </w:rPr>
        <w:t xml:space="preserve"> satisfaction des patients/couples concernés.</w:t>
      </w:r>
    </w:p>
    <w:p w14:paraId="592963A1" w14:textId="7F130CFD" w:rsidR="00F237DD" w:rsidRPr="00F5008E" w:rsidRDefault="00FF0C04" w:rsidP="00F5008E">
      <w:pPr>
        <w:pStyle w:val="Paragraphedeliste"/>
        <w:numPr>
          <w:ilvl w:val="0"/>
          <w:numId w:val="52"/>
        </w:numPr>
        <w:shd w:val="clear" w:color="auto" w:fill="F2F2F2" w:themeFill="background1" w:themeFillShade="F2"/>
        <w:rPr>
          <w:i/>
          <w:iCs/>
        </w:rPr>
      </w:pPr>
      <w:r w:rsidRPr="00F5008E">
        <w:rPr>
          <w:i/>
          <w:iCs/>
        </w:rPr>
        <w:t>Les principes de cette organisation peuvent s’appuyer sur ceux de la norme ISO 9001</w:t>
      </w:r>
      <w:r w:rsidR="009F552E" w:rsidRPr="00F5008E">
        <w:rPr>
          <w:i/>
          <w:iCs/>
        </w:rPr>
        <w:t xml:space="preserve"> et spécifiquement pour l’</w:t>
      </w:r>
      <w:r w:rsidR="005D596A" w:rsidRPr="00F5008E">
        <w:rPr>
          <w:i/>
          <w:iCs/>
        </w:rPr>
        <w:t>AMP biologique</w:t>
      </w:r>
      <w:r w:rsidR="009F552E" w:rsidRPr="00F5008E">
        <w:rPr>
          <w:i/>
          <w:iCs/>
        </w:rPr>
        <w:t xml:space="preserve"> (</w:t>
      </w:r>
      <w:r w:rsidR="005F2E9E" w:rsidRPr="00F5008E">
        <w:rPr>
          <w:i/>
          <w:iCs/>
        </w:rPr>
        <w:t>a</w:t>
      </w:r>
      <w:r w:rsidR="005D596A" w:rsidRPr="00F5008E">
        <w:rPr>
          <w:i/>
          <w:iCs/>
        </w:rPr>
        <w:t>pplication de l’arrêté des règles de bonnes pratiques en AM</w:t>
      </w:r>
      <w:r w:rsidR="00F237DD" w:rsidRPr="00F5008E">
        <w:rPr>
          <w:i/>
          <w:iCs/>
        </w:rPr>
        <w:t>P</w:t>
      </w:r>
      <w:r w:rsidR="009F552E" w:rsidRPr="00F5008E">
        <w:rPr>
          <w:i/>
          <w:iCs/>
        </w:rPr>
        <w:t xml:space="preserve"> et des normes d’accréditation</w:t>
      </w:r>
    </w:p>
    <w:p w14:paraId="02C0678F" w14:textId="77777777" w:rsidR="00F237DD" w:rsidRPr="00F5008E" w:rsidRDefault="00F237DD" w:rsidP="00F237DD">
      <w:pPr>
        <w:rPr>
          <w:i/>
          <w:iCs/>
        </w:rPr>
      </w:pPr>
    </w:p>
    <w:p w14:paraId="6FC92563" w14:textId="12AC399C" w:rsidR="003F0ECB" w:rsidRPr="00F5008E" w:rsidRDefault="003F0ECB" w:rsidP="003F0ECB">
      <w:pPr>
        <w:rPr>
          <w:i/>
          <w:iCs/>
        </w:rPr>
      </w:pPr>
    </w:p>
    <w:p w14:paraId="742AC5D9" w14:textId="27F50E2B" w:rsidR="003F0ECB" w:rsidRDefault="003F0ECB" w:rsidP="003F0ECB"/>
    <w:p w14:paraId="4285EFE5" w14:textId="67394EB7" w:rsidR="003F0ECB" w:rsidRDefault="003F0ECB" w:rsidP="00F5008E">
      <w:pPr>
        <w:pStyle w:val="Titre3"/>
      </w:pPr>
      <w:bookmarkStart w:id="104" w:name="_Toc211503176"/>
      <w:r>
        <w:t>Documentation</w:t>
      </w:r>
      <w:bookmarkEnd w:id="104"/>
      <w:r>
        <w:t xml:space="preserve"> </w:t>
      </w:r>
    </w:p>
    <w:p w14:paraId="0407B8D6" w14:textId="77777777" w:rsidR="003F0ECB" w:rsidRDefault="003F0ECB" w:rsidP="003F0ECB"/>
    <w:p w14:paraId="7F2D56AB" w14:textId="296EE640" w:rsidR="003F0ECB" w:rsidRDefault="003F0ECB" w:rsidP="003F0ECB">
      <w:r>
        <w:t>Le centre d’AMP et les laboratoires de génétique du CDPI disposent d’un ensemble de procédures et de modes opératoires validés intégrant les spécificités de leur fonctionnement pluridisciplinaire et les modalités de communication entre les différentes parties.</w:t>
      </w:r>
      <w:r w:rsidR="00275267">
        <w:t xml:space="preserve"> </w:t>
      </w:r>
    </w:p>
    <w:p w14:paraId="50982D20" w14:textId="6B6463F7" w:rsidR="00275267" w:rsidRDefault="00275267" w:rsidP="00F5008E">
      <w:pPr>
        <w:shd w:val="clear" w:color="auto" w:fill="F2F2F2" w:themeFill="background1" w:themeFillShade="F2"/>
        <w:rPr>
          <w:i/>
          <w:iCs/>
        </w:rPr>
      </w:pPr>
      <w:r>
        <w:rPr>
          <w:i/>
          <w:iCs/>
        </w:rPr>
        <w:t>Décrire dans les grandes lignes les modalités de rédaction des procédures du CDPI.</w:t>
      </w:r>
    </w:p>
    <w:p w14:paraId="161E583E" w14:textId="527E4133" w:rsidR="003F0ECB" w:rsidRPr="00F5008E" w:rsidRDefault="003F0ECB" w:rsidP="00F5008E">
      <w:pPr>
        <w:shd w:val="clear" w:color="auto" w:fill="F2F2F2" w:themeFill="background1" w:themeFillShade="F2"/>
        <w:rPr>
          <w:i/>
          <w:iCs/>
        </w:rPr>
      </w:pPr>
      <w:r w:rsidRPr="00F5008E">
        <w:rPr>
          <w:i/>
          <w:iCs/>
        </w:rPr>
        <w:t xml:space="preserve">Liste des procédures </w:t>
      </w:r>
      <w:r>
        <w:rPr>
          <w:i/>
          <w:iCs/>
        </w:rPr>
        <w:t>propre au CDPI</w:t>
      </w:r>
      <w:r w:rsidRPr="00F5008E">
        <w:rPr>
          <w:i/>
          <w:iCs/>
        </w:rPr>
        <w:t xml:space="preserve"> en annexe </w:t>
      </w:r>
      <w:r w:rsidR="00C12B59">
        <w:rPr>
          <w:i/>
          <w:iCs/>
        </w:rPr>
        <w:t>10</w:t>
      </w:r>
    </w:p>
    <w:p w14:paraId="2ED8A06B" w14:textId="77777777" w:rsidR="003F0ECB" w:rsidRPr="00F5008E" w:rsidRDefault="003F0ECB" w:rsidP="00F5008E"/>
    <w:p w14:paraId="6306C652" w14:textId="137C1F5A" w:rsidR="003A5672" w:rsidRDefault="003A5672" w:rsidP="00CA3D34">
      <w:pPr>
        <w:pStyle w:val="Titre3"/>
      </w:pPr>
      <w:bookmarkStart w:id="105" w:name="_Toc211239525"/>
      <w:bookmarkStart w:id="106" w:name="_Toc211503177"/>
      <w:r w:rsidRPr="00501B97">
        <w:t>Dossier</w:t>
      </w:r>
      <w:r>
        <w:t xml:space="preserve"> médical</w:t>
      </w:r>
      <w:bookmarkEnd w:id="105"/>
      <w:bookmarkEnd w:id="106"/>
    </w:p>
    <w:p w14:paraId="15F315AD" w14:textId="77777777" w:rsidR="003A5672" w:rsidRDefault="003A5672" w:rsidP="003A5672"/>
    <w:p w14:paraId="1C749A37" w14:textId="2780CB95" w:rsidR="0082789D" w:rsidRPr="00744280" w:rsidRDefault="0082789D" w:rsidP="003A5672">
      <w:pPr>
        <w:shd w:val="clear" w:color="auto" w:fill="F2F2F2" w:themeFill="background1" w:themeFillShade="F2"/>
        <w:rPr>
          <w:i/>
          <w:iCs/>
        </w:rPr>
      </w:pPr>
      <w:r>
        <w:rPr>
          <w:i/>
          <w:iCs/>
        </w:rPr>
        <w:t xml:space="preserve">Pour les différentes composantes du CDPI : </w:t>
      </w:r>
      <w:r w:rsidR="003A5672" w:rsidRPr="00744280">
        <w:rPr>
          <w:i/>
          <w:iCs/>
        </w:rPr>
        <w:t xml:space="preserve">Modalités de gestion du dossier </w:t>
      </w:r>
      <w:r>
        <w:rPr>
          <w:i/>
          <w:iCs/>
        </w:rPr>
        <w:t>et d</w:t>
      </w:r>
      <w:r w:rsidRPr="0082789D">
        <w:rPr>
          <w:i/>
          <w:iCs/>
        </w:rPr>
        <w:t>’accès aux informations cliniques et biologiques nécessaires à la prise en charge des couples ou des femmes non mariées</w:t>
      </w:r>
      <w:r>
        <w:rPr>
          <w:i/>
          <w:iCs/>
        </w:rPr>
        <w:t>.</w:t>
      </w:r>
    </w:p>
    <w:p w14:paraId="14AA9762" w14:textId="2853C775" w:rsidR="003A5672" w:rsidRDefault="003A5672" w:rsidP="003A5672"/>
    <w:p w14:paraId="005BE033" w14:textId="0643D961" w:rsidR="00235006" w:rsidRDefault="00862B65" w:rsidP="00F5008E">
      <w:pPr>
        <w:shd w:val="clear" w:color="auto" w:fill="F2F2F2" w:themeFill="background1" w:themeFillShade="F2"/>
        <w:rPr>
          <w:i/>
          <w:iCs/>
        </w:rPr>
      </w:pPr>
      <w:r w:rsidRPr="00F5008E">
        <w:rPr>
          <w:i/>
          <w:iCs/>
        </w:rPr>
        <w:t xml:space="preserve">Fournir la procédure </w:t>
      </w:r>
      <w:r w:rsidR="002A6DBC">
        <w:rPr>
          <w:i/>
          <w:iCs/>
        </w:rPr>
        <w:t>décrivant</w:t>
      </w:r>
      <w:r w:rsidRPr="00F5008E">
        <w:rPr>
          <w:i/>
          <w:iCs/>
        </w:rPr>
        <w:t xml:space="preserve"> la constitution d</w:t>
      </w:r>
      <w:r w:rsidR="00BA3A2D" w:rsidRPr="00F5008E">
        <w:rPr>
          <w:i/>
          <w:iCs/>
        </w:rPr>
        <w:t>u</w:t>
      </w:r>
      <w:r w:rsidRPr="00F5008E">
        <w:rPr>
          <w:i/>
          <w:iCs/>
        </w:rPr>
        <w:t xml:space="preserve"> dossier médical en </w:t>
      </w:r>
      <w:r w:rsidR="005F06E9">
        <w:rPr>
          <w:i/>
          <w:iCs/>
        </w:rPr>
        <w:t xml:space="preserve">sachant </w:t>
      </w:r>
      <w:r w:rsidR="00C12B59" w:rsidRPr="00F5008E">
        <w:rPr>
          <w:i/>
          <w:iCs/>
        </w:rPr>
        <w:t>qu</w:t>
      </w:r>
      <w:r w:rsidR="00275267">
        <w:rPr>
          <w:i/>
          <w:iCs/>
        </w:rPr>
        <w:t>’y</w:t>
      </w:r>
      <w:r w:rsidR="00C12B59" w:rsidRPr="00F5008E">
        <w:rPr>
          <w:i/>
          <w:iCs/>
        </w:rPr>
        <w:t xml:space="preserve"> s</w:t>
      </w:r>
      <w:r w:rsidR="00235006" w:rsidRPr="00F5008E">
        <w:rPr>
          <w:i/>
          <w:iCs/>
        </w:rPr>
        <w:t xml:space="preserve">ont retrouvés : </w:t>
      </w:r>
    </w:p>
    <w:p w14:paraId="7DC37D8C" w14:textId="77777777" w:rsidR="00275267" w:rsidRPr="00F5008E" w:rsidRDefault="00275267" w:rsidP="00F5008E">
      <w:pPr>
        <w:shd w:val="clear" w:color="auto" w:fill="F2F2F2" w:themeFill="background1" w:themeFillShade="F2"/>
        <w:rPr>
          <w:b/>
          <w:i/>
          <w:iCs/>
        </w:rPr>
      </w:pPr>
    </w:p>
    <w:p w14:paraId="2E6329A2" w14:textId="3CDAFD91" w:rsidR="00F60656" w:rsidRPr="00F5008E" w:rsidRDefault="00F60656" w:rsidP="00F5008E">
      <w:pPr>
        <w:shd w:val="clear" w:color="auto" w:fill="F2F2F2" w:themeFill="background1" w:themeFillShade="F2"/>
        <w:rPr>
          <w:i/>
          <w:iCs/>
        </w:rPr>
      </w:pPr>
      <w:r w:rsidRPr="00F5008E">
        <w:rPr>
          <w:i/>
          <w:iCs/>
        </w:rPr>
        <w:t xml:space="preserve">- </w:t>
      </w:r>
      <w:r w:rsidR="002A6DBC" w:rsidRPr="00F5008E">
        <w:rPr>
          <w:i/>
          <w:iCs/>
        </w:rPr>
        <w:t>L</w:t>
      </w:r>
      <w:r w:rsidRPr="00F5008E">
        <w:rPr>
          <w:i/>
          <w:iCs/>
        </w:rPr>
        <w:t xml:space="preserve">es coordonnées administratives des 2 membres du couple ou de la femme non mariée ; </w:t>
      </w:r>
    </w:p>
    <w:p w14:paraId="0E4EAF7A" w14:textId="383E80F6" w:rsidR="00F60656" w:rsidRPr="00F5008E" w:rsidRDefault="00CA53A2" w:rsidP="00F5008E">
      <w:pPr>
        <w:shd w:val="clear" w:color="auto" w:fill="F2F2F2" w:themeFill="background1" w:themeFillShade="F2"/>
        <w:rPr>
          <w:i/>
          <w:iCs/>
        </w:rPr>
      </w:pPr>
      <w:r w:rsidRPr="00F5008E">
        <w:rPr>
          <w:i/>
          <w:iCs/>
        </w:rPr>
        <w:t xml:space="preserve">- </w:t>
      </w:r>
      <w:r w:rsidR="005F2E9E" w:rsidRPr="00F5008E">
        <w:rPr>
          <w:i/>
          <w:iCs/>
        </w:rPr>
        <w:t>L</w:t>
      </w:r>
      <w:r w:rsidR="00F60656" w:rsidRPr="00F5008E">
        <w:rPr>
          <w:i/>
          <w:iCs/>
        </w:rPr>
        <w:t xml:space="preserve">es coordonnées du médecin traitant, le cas échéant celles du médecin généticien, voire celles du CPDPN de la région d’origine ; </w:t>
      </w:r>
    </w:p>
    <w:p w14:paraId="6A51CA5B" w14:textId="2BB2947D" w:rsidR="00E243C7" w:rsidRPr="00F5008E" w:rsidRDefault="00CA53A2" w:rsidP="00F5008E">
      <w:pPr>
        <w:shd w:val="clear" w:color="auto" w:fill="F2F2F2" w:themeFill="background1" w:themeFillShade="F2"/>
        <w:rPr>
          <w:i/>
          <w:iCs/>
        </w:rPr>
      </w:pPr>
      <w:r w:rsidRPr="00F5008E">
        <w:rPr>
          <w:i/>
          <w:iCs/>
        </w:rPr>
        <w:t>-</w:t>
      </w:r>
      <w:r w:rsidR="00F60656" w:rsidRPr="00F5008E">
        <w:rPr>
          <w:i/>
          <w:iCs/>
        </w:rPr>
        <w:t xml:space="preserve"> </w:t>
      </w:r>
      <w:r w:rsidR="005F2E9E" w:rsidRPr="00F5008E">
        <w:rPr>
          <w:i/>
          <w:iCs/>
        </w:rPr>
        <w:t>L</w:t>
      </w:r>
      <w:r w:rsidR="00F60656" w:rsidRPr="00F5008E">
        <w:rPr>
          <w:i/>
          <w:iCs/>
        </w:rPr>
        <w:t>’indication du diagnostic préimplantatoire.</w:t>
      </w:r>
    </w:p>
    <w:p w14:paraId="73C86CD9" w14:textId="333F9670" w:rsidR="00F60656" w:rsidRPr="00F5008E" w:rsidRDefault="00E243C7" w:rsidP="00F5008E">
      <w:pPr>
        <w:shd w:val="clear" w:color="auto" w:fill="F2F2F2" w:themeFill="background1" w:themeFillShade="F2"/>
        <w:rPr>
          <w:i/>
          <w:iCs/>
        </w:rPr>
      </w:pPr>
      <w:r w:rsidRPr="00F5008E">
        <w:rPr>
          <w:i/>
          <w:iCs/>
        </w:rPr>
        <w:t xml:space="preserve">- </w:t>
      </w:r>
      <w:r w:rsidR="005F2E9E" w:rsidRPr="00F5008E">
        <w:rPr>
          <w:i/>
          <w:iCs/>
        </w:rPr>
        <w:t>L</w:t>
      </w:r>
      <w:r w:rsidRPr="00F5008E">
        <w:rPr>
          <w:i/>
          <w:iCs/>
        </w:rPr>
        <w:t xml:space="preserve">es </w:t>
      </w:r>
      <w:r w:rsidR="00CA53A2" w:rsidRPr="00F5008E">
        <w:rPr>
          <w:i/>
          <w:iCs/>
        </w:rPr>
        <w:t>éléments</w:t>
      </w:r>
      <w:r w:rsidRPr="00F5008E">
        <w:rPr>
          <w:i/>
          <w:iCs/>
        </w:rPr>
        <w:t xml:space="preserve"> de prises en charge et des différents interlocuteurs</w:t>
      </w:r>
    </w:p>
    <w:p w14:paraId="60DB0067" w14:textId="016C2A26" w:rsidR="00F60656" w:rsidRPr="00F5008E" w:rsidRDefault="00F60656" w:rsidP="00F5008E">
      <w:pPr>
        <w:shd w:val="clear" w:color="auto" w:fill="F2F2F2" w:themeFill="background1" w:themeFillShade="F2"/>
        <w:rPr>
          <w:i/>
          <w:iCs/>
        </w:rPr>
      </w:pPr>
      <w:r w:rsidRPr="00F5008E">
        <w:rPr>
          <w:i/>
          <w:iCs/>
        </w:rPr>
        <w:t xml:space="preserve">- La demande de </w:t>
      </w:r>
      <w:r w:rsidR="00275267" w:rsidRPr="00F5008E">
        <w:rPr>
          <w:i/>
          <w:iCs/>
        </w:rPr>
        <w:t>DPI formulée</w:t>
      </w:r>
      <w:r w:rsidRPr="00F5008E">
        <w:rPr>
          <w:i/>
          <w:iCs/>
        </w:rPr>
        <w:t xml:space="preserve"> par écrit par le couple, ou la femme non mariée ou, à sa demande, par un médecin de son choix auprès d’un CDPI. </w:t>
      </w:r>
    </w:p>
    <w:p w14:paraId="04CDCB92" w14:textId="7339F11C" w:rsidR="002A6DBC" w:rsidRPr="00F5008E" w:rsidRDefault="00F60656" w:rsidP="00F5008E">
      <w:pPr>
        <w:shd w:val="clear" w:color="auto" w:fill="F2F2F2" w:themeFill="background1" w:themeFillShade="F2"/>
        <w:rPr>
          <w:i/>
          <w:iCs/>
        </w:rPr>
      </w:pPr>
      <w:r w:rsidRPr="00F5008E">
        <w:rPr>
          <w:i/>
          <w:iCs/>
        </w:rPr>
        <w:t>- le consentement du couple ou de la femme non mariée sera recueilli en vue de la présentation du dossier de demande de DPI auprès du CPDPN.</w:t>
      </w:r>
    </w:p>
    <w:p w14:paraId="379C2372" w14:textId="10E3B197" w:rsidR="002A6DBC" w:rsidRPr="00F5008E" w:rsidRDefault="00F60656" w:rsidP="00F5008E">
      <w:pPr>
        <w:shd w:val="clear" w:color="auto" w:fill="F2F2F2" w:themeFill="background1" w:themeFillShade="F2"/>
        <w:rPr>
          <w:i/>
          <w:iCs/>
          <w:u w:val="single"/>
        </w:rPr>
      </w:pPr>
      <w:r w:rsidRPr="00F5008E">
        <w:rPr>
          <w:i/>
          <w:iCs/>
          <w:u w:val="single"/>
        </w:rPr>
        <w:t>Sur le plan de l’AMP</w:t>
      </w:r>
      <w:r w:rsidR="003E34BD" w:rsidRPr="00F5008E">
        <w:rPr>
          <w:i/>
          <w:iCs/>
          <w:u w:val="single"/>
        </w:rPr>
        <w:t> :</w:t>
      </w:r>
    </w:p>
    <w:p w14:paraId="21547733" w14:textId="63AFBD0E" w:rsidR="00C2451F" w:rsidRPr="00F5008E" w:rsidRDefault="002A6DBC" w:rsidP="00F5008E">
      <w:pPr>
        <w:shd w:val="clear" w:color="auto" w:fill="F2F2F2" w:themeFill="background1" w:themeFillShade="F2"/>
        <w:rPr>
          <w:i/>
          <w:iCs/>
        </w:rPr>
      </w:pPr>
      <w:r w:rsidRPr="00F5008E">
        <w:rPr>
          <w:i/>
          <w:iCs/>
        </w:rPr>
        <w:t xml:space="preserve">- </w:t>
      </w:r>
      <w:r w:rsidR="00F60656" w:rsidRPr="00F5008E">
        <w:rPr>
          <w:i/>
          <w:iCs/>
        </w:rPr>
        <w:t xml:space="preserve">l’évaluation du dossier réalisée selon les critères cliniques et biologiques de prise en charge des couples ou des femmes non mariées définis et régulièrement revus par l’équipe d’AMP. Le cas échéant, différents facteurs tels que le bilan de la réserve ovarienne peuvent être pris en compte dans la prise en charge des couples ou des femmes non mariées afin d’apprécier les chances de succès du DPI. </w:t>
      </w:r>
    </w:p>
    <w:p w14:paraId="3036A415" w14:textId="67F4B061" w:rsidR="00F60656" w:rsidRPr="00F5008E" w:rsidRDefault="00C2451F" w:rsidP="00F5008E">
      <w:pPr>
        <w:shd w:val="clear" w:color="auto" w:fill="F2F2F2" w:themeFill="background1" w:themeFillShade="F2"/>
        <w:rPr>
          <w:i/>
          <w:iCs/>
        </w:rPr>
      </w:pPr>
      <w:r w:rsidRPr="00F5008E">
        <w:rPr>
          <w:i/>
          <w:iCs/>
        </w:rPr>
        <w:t>- Information relative à l’assistance médicale à la procréation :</w:t>
      </w:r>
    </w:p>
    <w:p w14:paraId="57A31F88" w14:textId="1C7DF696" w:rsidR="00F60656" w:rsidRPr="00F5008E" w:rsidRDefault="00F60656" w:rsidP="00F5008E">
      <w:pPr>
        <w:shd w:val="clear" w:color="auto" w:fill="F2F2F2" w:themeFill="background1" w:themeFillShade="F2"/>
        <w:rPr>
          <w:i/>
          <w:iCs/>
        </w:rPr>
      </w:pPr>
      <w:r w:rsidRPr="00F5008E">
        <w:rPr>
          <w:i/>
          <w:iCs/>
        </w:rPr>
        <w:t>-</w:t>
      </w:r>
      <w:r w:rsidR="002A6DBC" w:rsidRPr="00F5008E">
        <w:rPr>
          <w:i/>
          <w:iCs/>
        </w:rPr>
        <w:t xml:space="preserve"> </w:t>
      </w:r>
      <w:r w:rsidRPr="00F5008E">
        <w:rPr>
          <w:i/>
          <w:iCs/>
        </w:rPr>
        <w:t>Les formulaires de consentement nécessaires lors de toute démarche d’AMP sont recueillis préalablement à la réalisation des techniques d’AMP et à chaque tentative.</w:t>
      </w:r>
    </w:p>
    <w:p w14:paraId="0D758132" w14:textId="77777777" w:rsidR="002A6DBC" w:rsidRPr="00F5008E" w:rsidRDefault="00F60656" w:rsidP="00F5008E">
      <w:pPr>
        <w:shd w:val="clear" w:color="auto" w:fill="F2F2F2" w:themeFill="background1" w:themeFillShade="F2"/>
        <w:rPr>
          <w:i/>
          <w:iCs/>
          <w:u w:val="single"/>
        </w:rPr>
      </w:pPr>
      <w:r w:rsidRPr="00F5008E">
        <w:rPr>
          <w:i/>
          <w:iCs/>
          <w:u w:val="single"/>
        </w:rPr>
        <w:t xml:space="preserve">Sur le plan génétique, </w:t>
      </w:r>
    </w:p>
    <w:p w14:paraId="2A0F4D3E" w14:textId="2769A1EC" w:rsidR="00F60656" w:rsidRPr="00F5008E" w:rsidRDefault="002A6DBC" w:rsidP="00F5008E">
      <w:pPr>
        <w:shd w:val="clear" w:color="auto" w:fill="F2F2F2" w:themeFill="background1" w:themeFillShade="F2"/>
        <w:rPr>
          <w:i/>
          <w:iCs/>
        </w:rPr>
      </w:pPr>
      <w:r w:rsidRPr="00F5008E">
        <w:rPr>
          <w:i/>
          <w:iCs/>
        </w:rPr>
        <w:t xml:space="preserve">- </w:t>
      </w:r>
      <w:r w:rsidR="00F60656" w:rsidRPr="00F5008E">
        <w:rPr>
          <w:i/>
          <w:iCs/>
        </w:rPr>
        <w:t>l’évaluation port</w:t>
      </w:r>
      <w:r w:rsidRPr="00F5008E">
        <w:rPr>
          <w:i/>
          <w:iCs/>
        </w:rPr>
        <w:t>ant</w:t>
      </w:r>
      <w:r w:rsidR="00F60656" w:rsidRPr="00F5008E">
        <w:rPr>
          <w:i/>
          <w:iCs/>
        </w:rPr>
        <w:t xml:space="preserve"> sur la faisabilité technique de l’analyse génétique sur prélèvement embryonnaire en fonction du diagnostic et des échantillons nécessaires pour la mise au point et la réalisation du DPI.</w:t>
      </w:r>
    </w:p>
    <w:p w14:paraId="4F55D84E" w14:textId="1A75B4E0" w:rsidR="00C2451F" w:rsidRPr="00F5008E" w:rsidRDefault="002A6DBC" w:rsidP="00F5008E">
      <w:pPr>
        <w:shd w:val="clear" w:color="auto" w:fill="F2F2F2" w:themeFill="background1" w:themeFillShade="F2"/>
        <w:rPr>
          <w:i/>
          <w:iCs/>
        </w:rPr>
      </w:pPr>
      <w:r w:rsidRPr="00F5008E">
        <w:rPr>
          <w:i/>
          <w:iCs/>
        </w:rPr>
        <w:t>L’</w:t>
      </w:r>
      <w:r w:rsidR="00C2451F" w:rsidRPr="00F5008E">
        <w:rPr>
          <w:i/>
          <w:iCs/>
        </w:rPr>
        <w:t xml:space="preserve">Information relative au </w:t>
      </w:r>
      <w:r w:rsidR="00A0176B" w:rsidRPr="00F5008E">
        <w:rPr>
          <w:i/>
          <w:iCs/>
        </w:rPr>
        <w:t>diagnostic</w:t>
      </w:r>
      <w:r w:rsidR="00C2451F" w:rsidRPr="00F5008E">
        <w:rPr>
          <w:i/>
          <w:iCs/>
        </w:rPr>
        <w:t xml:space="preserve"> génétique :</w:t>
      </w:r>
    </w:p>
    <w:p w14:paraId="7391FA09" w14:textId="77777777" w:rsidR="0097648B" w:rsidRPr="00F5008E" w:rsidRDefault="00F60656" w:rsidP="00F5008E">
      <w:pPr>
        <w:shd w:val="clear" w:color="auto" w:fill="F2F2F2" w:themeFill="background1" w:themeFillShade="F2"/>
        <w:rPr>
          <w:i/>
          <w:iCs/>
        </w:rPr>
      </w:pPr>
      <w:r w:rsidRPr="00F5008E">
        <w:rPr>
          <w:i/>
          <w:iCs/>
        </w:rPr>
        <w:t>Les consentements nécessaires</w:t>
      </w:r>
    </w:p>
    <w:p w14:paraId="7423854E" w14:textId="30A8BC8F" w:rsidR="0097648B" w:rsidRPr="00F5008E" w:rsidRDefault="0097648B" w:rsidP="00F5008E">
      <w:pPr>
        <w:shd w:val="clear" w:color="auto" w:fill="F2F2F2" w:themeFill="background1" w:themeFillShade="F2"/>
        <w:rPr>
          <w:i/>
          <w:iCs/>
        </w:rPr>
      </w:pPr>
      <w:r w:rsidRPr="00F5008E">
        <w:rPr>
          <w:i/>
          <w:iCs/>
        </w:rPr>
        <w:t>-</w:t>
      </w:r>
      <w:r w:rsidR="002A6DBC" w:rsidRPr="00F5008E">
        <w:rPr>
          <w:i/>
          <w:iCs/>
        </w:rPr>
        <w:t xml:space="preserve"> </w:t>
      </w:r>
      <w:r w:rsidR="00F60656" w:rsidRPr="00F5008E">
        <w:rPr>
          <w:i/>
          <w:iCs/>
        </w:rPr>
        <w:t xml:space="preserve">à la réalisation des examens des caractéristiques génétiques d’une personne, qu’il s’agisse des membres du couple ou de la femme non mariée ou de leur famille, seront recueillis avant la réalisation des examens génétiques. </w:t>
      </w:r>
    </w:p>
    <w:p w14:paraId="4FE57A41" w14:textId="15E6DB49" w:rsidR="00A0176B" w:rsidRPr="00F5008E" w:rsidRDefault="0097648B" w:rsidP="00F5008E">
      <w:pPr>
        <w:shd w:val="clear" w:color="auto" w:fill="F2F2F2" w:themeFill="background1" w:themeFillShade="F2"/>
        <w:rPr>
          <w:i/>
          <w:iCs/>
        </w:rPr>
      </w:pPr>
      <w:r w:rsidRPr="00F5008E">
        <w:rPr>
          <w:i/>
          <w:iCs/>
        </w:rPr>
        <w:t>-</w:t>
      </w:r>
      <w:r w:rsidR="00A0176B" w:rsidRPr="00F5008E">
        <w:rPr>
          <w:i/>
          <w:iCs/>
        </w:rPr>
        <w:t xml:space="preserve"> recueilli</w:t>
      </w:r>
      <w:r w:rsidRPr="00F5008E">
        <w:rPr>
          <w:i/>
          <w:iCs/>
        </w:rPr>
        <w:t xml:space="preserve">s </w:t>
      </w:r>
      <w:r w:rsidR="00A0176B" w:rsidRPr="00F5008E">
        <w:rPr>
          <w:i/>
          <w:iCs/>
        </w:rPr>
        <w:t>par écrit par le professionnel qualifié en génétique en charge de l’information ; il peut s’agir d’un professionnel qualifié en génétique ou du conseiller en génétique du CDPI ou d’autres professionnels qualifiés en génétique, en charge du suivi du couple ou de la femme non mariée et le cas échéant de leur famille, notamment en cas d’éloignement géographique.</w:t>
      </w:r>
    </w:p>
    <w:p w14:paraId="4A8AF4FD" w14:textId="61B2EA78" w:rsidR="00A0176B" w:rsidRPr="00F5008E" w:rsidRDefault="003E34BD" w:rsidP="00F5008E">
      <w:pPr>
        <w:shd w:val="clear" w:color="auto" w:fill="F2F2F2" w:themeFill="background1" w:themeFillShade="F2"/>
        <w:rPr>
          <w:i/>
          <w:iCs/>
          <w:u w:val="single"/>
        </w:rPr>
      </w:pPr>
      <w:r w:rsidRPr="00F5008E">
        <w:rPr>
          <w:i/>
          <w:iCs/>
          <w:u w:val="single"/>
        </w:rPr>
        <w:t>Puis :</w:t>
      </w:r>
    </w:p>
    <w:p w14:paraId="2E3A3358" w14:textId="35058714" w:rsidR="00C12B59" w:rsidRPr="00F5008E" w:rsidRDefault="00C12B59" w:rsidP="00F5008E">
      <w:pPr>
        <w:shd w:val="clear" w:color="auto" w:fill="F2F2F2" w:themeFill="background1" w:themeFillShade="F2"/>
        <w:rPr>
          <w:i/>
          <w:iCs/>
        </w:rPr>
      </w:pPr>
      <w:r w:rsidRPr="00F5008E">
        <w:rPr>
          <w:i/>
          <w:iCs/>
        </w:rPr>
        <w:t>- Le compte-rendu de réunion de concertation pluridisciplinaires du CDPI</w:t>
      </w:r>
    </w:p>
    <w:p w14:paraId="09D08C51" w14:textId="36365212" w:rsidR="00C12B59" w:rsidRPr="00F5008E" w:rsidRDefault="00C12B59" w:rsidP="00F5008E">
      <w:pPr>
        <w:shd w:val="clear" w:color="auto" w:fill="F2F2F2" w:themeFill="background1" w:themeFillShade="F2"/>
        <w:rPr>
          <w:i/>
          <w:iCs/>
        </w:rPr>
      </w:pPr>
      <w:r w:rsidRPr="00F5008E">
        <w:rPr>
          <w:i/>
          <w:iCs/>
        </w:rPr>
        <w:t>- Le compte-rendu de réunion de concertation pluridisciplinaires du CPDPN et relevé individuel</w:t>
      </w:r>
    </w:p>
    <w:p w14:paraId="20A3AEA2" w14:textId="180FD508" w:rsidR="00C12B59" w:rsidRPr="00F5008E" w:rsidRDefault="00C12B59" w:rsidP="00F5008E">
      <w:pPr>
        <w:shd w:val="clear" w:color="auto" w:fill="F2F2F2" w:themeFill="background1" w:themeFillShade="F2"/>
        <w:rPr>
          <w:i/>
          <w:iCs/>
        </w:rPr>
      </w:pPr>
      <w:r w:rsidRPr="00F5008E">
        <w:rPr>
          <w:i/>
          <w:iCs/>
        </w:rPr>
        <w:t>- L’attestation de DPI établissant la recevabilité du diagnostic</w:t>
      </w:r>
    </w:p>
    <w:p w14:paraId="426F40F6" w14:textId="03621995" w:rsidR="00C12B59" w:rsidRPr="00F5008E" w:rsidRDefault="00C12B59" w:rsidP="00F5008E">
      <w:pPr>
        <w:shd w:val="clear" w:color="auto" w:fill="F2F2F2" w:themeFill="background1" w:themeFillShade="F2"/>
        <w:rPr>
          <w:i/>
          <w:iCs/>
        </w:rPr>
      </w:pPr>
      <w:r w:rsidRPr="00F5008E">
        <w:rPr>
          <w:i/>
          <w:iCs/>
        </w:rPr>
        <w:lastRenderedPageBreak/>
        <w:t>- La ou les consultations pluridisciplinaire : courrier de synthèse</w:t>
      </w:r>
    </w:p>
    <w:p w14:paraId="15AE7B38" w14:textId="4E7BABA7" w:rsidR="00F60656" w:rsidRPr="00F5008E" w:rsidRDefault="00C12B59" w:rsidP="00F5008E">
      <w:pPr>
        <w:shd w:val="clear" w:color="auto" w:fill="F2F2F2" w:themeFill="background1" w:themeFillShade="F2"/>
        <w:rPr>
          <w:i/>
          <w:iCs/>
        </w:rPr>
      </w:pPr>
      <w:r w:rsidRPr="00F5008E">
        <w:rPr>
          <w:i/>
          <w:iCs/>
        </w:rPr>
        <w:t>- Le consentement du couple ou de la femme non mariée au DPI</w:t>
      </w:r>
    </w:p>
    <w:p w14:paraId="201475A5" w14:textId="16BA8413" w:rsidR="0082789D" w:rsidRPr="00F5008E" w:rsidRDefault="0082789D" w:rsidP="00F5008E">
      <w:pPr>
        <w:shd w:val="clear" w:color="auto" w:fill="F2F2F2" w:themeFill="background1" w:themeFillShade="F2"/>
        <w:rPr>
          <w:i/>
          <w:iCs/>
        </w:rPr>
      </w:pPr>
      <w:r w:rsidRPr="00F5008E">
        <w:rPr>
          <w:i/>
          <w:iCs/>
        </w:rPr>
        <w:t>-</w:t>
      </w:r>
      <w:r w:rsidR="003E34BD">
        <w:rPr>
          <w:i/>
          <w:iCs/>
        </w:rPr>
        <w:t xml:space="preserve"> </w:t>
      </w:r>
      <w:r w:rsidRPr="00F5008E">
        <w:rPr>
          <w:i/>
          <w:iCs/>
        </w:rPr>
        <w:t>Le compte-rendu de chaque tentative d’AMP</w:t>
      </w:r>
      <w:r w:rsidR="005070CF" w:rsidRPr="00F5008E">
        <w:rPr>
          <w:i/>
          <w:iCs/>
        </w:rPr>
        <w:t xml:space="preserve"> </w:t>
      </w:r>
      <w:r w:rsidR="00F60656" w:rsidRPr="00F5008E">
        <w:rPr>
          <w:i/>
          <w:iCs/>
        </w:rPr>
        <w:t>sur le nombre d’embryons obtenus, le nombre d’embryons biopsiés et transférables et, le cas échéant, cryoconservés</w:t>
      </w:r>
      <w:r w:rsidR="00C12B59" w:rsidRPr="00F5008E">
        <w:rPr>
          <w:iCs/>
        </w:rPr>
        <w:footnoteReference w:id="8"/>
      </w:r>
    </w:p>
    <w:p w14:paraId="0C8C90EC" w14:textId="0F6FCC0D" w:rsidR="00C12B59" w:rsidRPr="00F5008E" w:rsidRDefault="0082789D" w:rsidP="00F5008E">
      <w:pPr>
        <w:shd w:val="clear" w:color="auto" w:fill="F2F2F2" w:themeFill="background1" w:themeFillShade="F2"/>
        <w:rPr>
          <w:i/>
          <w:iCs/>
        </w:rPr>
      </w:pPr>
      <w:r w:rsidRPr="00F5008E">
        <w:rPr>
          <w:i/>
          <w:iCs/>
        </w:rPr>
        <w:t xml:space="preserve">- </w:t>
      </w:r>
      <w:r w:rsidR="003E34BD">
        <w:rPr>
          <w:i/>
          <w:iCs/>
        </w:rPr>
        <w:t>L</w:t>
      </w:r>
      <w:r w:rsidRPr="00F5008E">
        <w:rPr>
          <w:i/>
          <w:iCs/>
        </w:rPr>
        <w:t>es résultats des examens génétiques pratiqués sur les embryons</w:t>
      </w:r>
      <w:r w:rsidR="00C12B59" w:rsidRPr="00F5008E">
        <w:rPr>
          <w:i/>
          <w:iCs/>
        </w:rPr>
        <w:t>7</w:t>
      </w:r>
    </w:p>
    <w:p w14:paraId="1C14E86C" w14:textId="4DD40403" w:rsidR="00E243C7" w:rsidRPr="00F5008E" w:rsidRDefault="00C12B59" w:rsidP="00F5008E">
      <w:pPr>
        <w:shd w:val="clear" w:color="auto" w:fill="F2F2F2" w:themeFill="background1" w:themeFillShade="F2"/>
        <w:rPr>
          <w:i/>
          <w:iCs/>
        </w:rPr>
      </w:pPr>
      <w:r w:rsidRPr="00F5008E">
        <w:rPr>
          <w:i/>
          <w:iCs/>
        </w:rPr>
        <w:t xml:space="preserve">- La </w:t>
      </w:r>
      <w:r w:rsidR="0097648B" w:rsidRPr="00F5008E">
        <w:rPr>
          <w:i/>
          <w:iCs/>
        </w:rPr>
        <w:t>communication des résultats d’AMP avec les commentaires nécessaires</w:t>
      </w:r>
      <w:r w:rsidRPr="00F5008E">
        <w:rPr>
          <w:i/>
          <w:iCs/>
        </w:rPr>
        <w:t xml:space="preserve"> et </w:t>
      </w:r>
      <w:r w:rsidR="0097648B" w:rsidRPr="00F5008E">
        <w:rPr>
          <w:i/>
          <w:iCs/>
        </w:rPr>
        <w:t xml:space="preserve">explication sur le risque d’erreur résiduel. </w:t>
      </w:r>
    </w:p>
    <w:p w14:paraId="55AA2E56" w14:textId="48279987" w:rsidR="00E243C7" w:rsidRPr="00F5008E" w:rsidRDefault="00E243C7" w:rsidP="00F5008E">
      <w:pPr>
        <w:shd w:val="clear" w:color="auto" w:fill="F2F2F2" w:themeFill="background1" w:themeFillShade="F2"/>
        <w:rPr>
          <w:i/>
          <w:iCs/>
        </w:rPr>
      </w:pPr>
      <w:r w:rsidRPr="00F5008E">
        <w:rPr>
          <w:i/>
          <w:iCs/>
        </w:rPr>
        <w:t xml:space="preserve">- </w:t>
      </w:r>
      <w:r w:rsidR="003E34BD">
        <w:rPr>
          <w:i/>
          <w:iCs/>
        </w:rPr>
        <w:t>L</w:t>
      </w:r>
      <w:r w:rsidRPr="00F5008E">
        <w:rPr>
          <w:i/>
          <w:iCs/>
        </w:rPr>
        <w:t>es issues de grossesses</w:t>
      </w:r>
    </w:p>
    <w:p w14:paraId="39985E6D" w14:textId="256B3FC9" w:rsidR="0082789D" w:rsidRDefault="0082789D" w:rsidP="003A5672"/>
    <w:p w14:paraId="1E7AC0BD" w14:textId="1BE31C16" w:rsidR="0082789D" w:rsidRDefault="00357D45" w:rsidP="00F5008E">
      <w:pPr>
        <w:pStyle w:val="Titre3"/>
      </w:pPr>
      <w:bookmarkStart w:id="107" w:name="_Toc211239526"/>
      <w:bookmarkStart w:id="108" w:name="_Toc211503178"/>
      <w:r>
        <w:t>Conservation d</w:t>
      </w:r>
      <w:r w:rsidR="0082789D">
        <w:t xml:space="preserve">es informations relatives aux diagnostics </w:t>
      </w:r>
      <w:r>
        <w:t>en toute</w:t>
      </w:r>
      <w:r w:rsidR="0082789D">
        <w:t xml:space="preserve"> confidentialité</w:t>
      </w:r>
      <w:bookmarkEnd w:id="107"/>
      <w:bookmarkEnd w:id="108"/>
    </w:p>
    <w:p w14:paraId="4024E8E1" w14:textId="398B49D2" w:rsidR="003A5672" w:rsidRDefault="003A5672" w:rsidP="00606409"/>
    <w:p w14:paraId="2F9BDB07" w14:textId="469CD70E" w:rsidR="00862B65" w:rsidRPr="00F5008E" w:rsidRDefault="00F04E85" w:rsidP="00F5008E">
      <w:pPr>
        <w:shd w:val="clear" w:color="auto" w:fill="F2F2F2" w:themeFill="background1" w:themeFillShade="F2"/>
        <w:rPr>
          <w:i/>
          <w:iCs/>
        </w:rPr>
      </w:pPr>
      <w:r w:rsidRPr="00F5008E">
        <w:rPr>
          <w:i/>
          <w:iCs/>
        </w:rPr>
        <w:t>Prévoir une p</w:t>
      </w:r>
      <w:r w:rsidR="00862B65" w:rsidRPr="00F5008E">
        <w:rPr>
          <w:i/>
          <w:iCs/>
        </w:rPr>
        <w:t>rocédure archivage en prenant en compte les éléments suivants</w:t>
      </w:r>
      <w:r>
        <w:rPr>
          <w:i/>
          <w:iCs/>
        </w:rPr>
        <w:t> :</w:t>
      </w:r>
    </w:p>
    <w:p w14:paraId="5BE7C4B9" w14:textId="77777777" w:rsidR="00BA3A2D" w:rsidRPr="00F5008E" w:rsidRDefault="00BA3A2D" w:rsidP="00F5008E">
      <w:pPr>
        <w:shd w:val="clear" w:color="auto" w:fill="F2F2F2" w:themeFill="background1" w:themeFillShade="F2"/>
        <w:rPr>
          <w:i/>
          <w:iCs/>
        </w:rPr>
      </w:pPr>
    </w:p>
    <w:p w14:paraId="1A84B376" w14:textId="09F31C51" w:rsidR="00F04E85" w:rsidRDefault="00F04E85" w:rsidP="00F04E85">
      <w:pPr>
        <w:shd w:val="clear" w:color="auto" w:fill="F2F2F2" w:themeFill="background1" w:themeFillShade="F2"/>
        <w:rPr>
          <w:i/>
          <w:iCs/>
        </w:rPr>
      </w:pPr>
      <w:r>
        <w:rPr>
          <w:i/>
          <w:iCs/>
        </w:rPr>
        <w:t xml:space="preserve">- </w:t>
      </w:r>
      <w:r w:rsidR="0082789D" w:rsidRPr="00F5008E">
        <w:rPr>
          <w:i/>
          <w:iCs/>
        </w:rPr>
        <w:t>Si le dossier médical est tenu sous forme informatique, les règles de sécurité, de confidentialité et de consultation des informations qui y sont contenues sont conformes aux dispositions législatives et réglementaires en vigueur et aux droits d’accès définis par l’établissement et le centre de DPI.</w:t>
      </w:r>
    </w:p>
    <w:p w14:paraId="4C224B83" w14:textId="5094DFF6" w:rsidR="00F04E85" w:rsidRPr="00F5008E" w:rsidRDefault="00F04E85" w:rsidP="00F5008E">
      <w:pPr>
        <w:shd w:val="clear" w:color="auto" w:fill="F2F2F2" w:themeFill="background1" w:themeFillShade="F2"/>
        <w:rPr>
          <w:i/>
          <w:iCs/>
        </w:rPr>
      </w:pPr>
      <w:r>
        <w:rPr>
          <w:i/>
          <w:iCs/>
        </w:rPr>
        <w:t xml:space="preserve">- </w:t>
      </w:r>
      <w:r w:rsidR="0082789D" w:rsidRPr="00F5008E">
        <w:rPr>
          <w:i/>
          <w:iCs/>
        </w:rPr>
        <w:t>Les acteurs intervenant dans la prise en charge des couples ou des femmes non mariées s’assurent de la saisie et de la mise à jour en temps utile des informations contenues dans le dossier médical. Les saisies et les modifications éventuelles sont tracées.</w:t>
      </w:r>
    </w:p>
    <w:p w14:paraId="586843A2" w14:textId="7A60D028" w:rsidR="0082789D" w:rsidRPr="00F5008E" w:rsidRDefault="00F04E85" w:rsidP="00F5008E">
      <w:pPr>
        <w:shd w:val="clear" w:color="auto" w:fill="F2F2F2" w:themeFill="background1" w:themeFillShade="F2"/>
        <w:rPr>
          <w:i/>
          <w:iCs/>
        </w:rPr>
      </w:pPr>
      <w:r>
        <w:rPr>
          <w:i/>
          <w:iCs/>
        </w:rPr>
        <w:t xml:space="preserve">- </w:t>
      </w:r>
      <w:r w:rsidR="0082789D" w:rsidRPr="00F5008E">
        <w:rPr>
          <w:i/>
          <w:iCs/>
        </w:rPr>
        <w:t xml:space="preserve">Les éléments du dossier médical sont conservés durant </w:t>
      </w:r>
      <w:r w:rsidR="0082789D" w:rsidRPr="00F5008E">
        <w:rPr>
          <w:i/>
          <w:iCs/>
          <w:u w:val="single"/>
        </w:rPr>
        <w:t>20 ans à compter de la date du dernier séjour de son titulaire dans l’établissement ou de la dernière consultation externe</w:t>
      </w:r>
      <w:r w:rsidR="0082789D" w:rsidRPr="00F5008E">
        <w:rPr>
          <w:i/>
          <w:iCs/>
        </w:rPr>
        <w:t>. Le consentement écrit et les doubles de la prescription de l’examen des caractéristiques génétiques des personnes concernées ainsi que les comptes rendus d’examens de biologie médicale commentés et signés sont conservés par le médecin prescripteur dans le dossier médical de la personne concernée, dans le respect du secret professionnel.</w:t>
      </w:r>
    </w:p>
    <w:p w14:paraId="12E2B18B" w14:textId="6F1E8F08" w:rsidR="0082789D" w:rsidRPr="00F5008E" w:rsidRDefault="00F04E85" w:rsidP="00F5008E">
      <w:pPr>
        <w:shd w:val="clear" w:color="auto" w:fill="F2F2F2" w:themeFill="background1" w:themeFillShade="F2"/>
        <w:rPr>
          <w:i/>
          <w:iCs/>
          <w:u w:val="single"/>
        </w:rPr>
      </w:pPr>
      <w:r>
        <w:rPr>
          <w:i/>
          <w:iCs/>
        </w:rPr>
        <w:t xml:space="preserve">- </w:t>
      </w:r>
      <w:r w:rsidR="0082789D" w:rsidRPr="00F5008E">
        <w:rPr>
          <w:i/>
          <w:iCs/>
        </w:rPr>
        <w:t xml:space="preserve">Les comptes rendus d’examens des caractéristiques génétiques et leur commentaire explicatif sont conservés par les laboratoires pendant une durée de </w:t>
      </w:r>
      <w:r w:rsidR="005070CF" w:rsidRPr="00F5008E">
        <w:rPr>
          <w:i/>
          <w:iCs/>
          <w:u w:val="single"/>
        </w:rPr>
        <w:t>30</w:t>
      </w:r>
      <w:r w:rsidR="0082789D" w:rsidRPr="00F5008E">
        <w:rPr>
          <w:i/>
          <w:iCs/>
          <w:u w:val="single"/>
        </w:rPr>
        <w:t xml:space="preserve"> ans</w:t>
      </w:r>
    </w:p>
    <w:p w14:paraId="5518DCAD" w14:textId="77777777" w:rsidR="00862B65" w:rsidRDefault="00862B65" w:rsidP="00CA3D34">
      <w:pPr>
        <w:pStyle w:val="Titre3"/>
      </w:pPr>
    </w:p>
    <w:p w14:paraId="53CF4557" w14:textId="268371B2" w:rsidR="00CA3D34" w:rsidRDefault="00CA3D34">
      <w:pPr>
        <w:pStyle w:val="Titre3"/>
      </w:pPr>
      <w:bookmarkStart w:id="109" w:name="_Toc211239528"/>
      <w:bookmarkStart w:id="110" w:name="_Toc211503179"/>
      <w:r>
        <w:t xml:space="preserve">Traçabilité et </w:t>
      </w:r>
      <w:bookmarkEnd w:id="109"/>
      <w:r w:rsidR="00275267">
        <w:t>identitovigilance</w:t>
      </w:r>
      <w:bookmarkEnd w:id="110"/>
    </w:p>
    <w:p w14:paraId="22D90A07" w14:textId="7B626DB4" w:rsidR="00862B65" w:rsidRDefault="00862B65" w:rsidP="00862B65"/>
    <w:p w14:paraId="4614BAE5" w14:textId="7AD0174F" w:rsidR="00862B65" w:rsidRPr="00F5008E" w:rsidRDefault="00F04E85" w:rsidP="00F5008E">
      <w:pPr>
        <w:shd w:val="clear" w:color="auto" w:fill="F2F2F2" w:themeFill="background1" w:themeFillShade="F2"/>
        <w:rPr>
          <w:i/>
          <w:iCs/>
        </w:rPr>
      </w:pPr>
      <w:bookmarkStart w:id="111" w:name="_Toc211239529"/>
      <w:r>
        <w:rPr>
          <w:i/>
          <w:iCs/>
        </w:rPr>
        <w:t xml:space="preserve">Fournir une </w:t>
      </w:r>
      <w:r w:rsidR="00A2415E">
        <w:rPr>
          <w:i/>
          <w:iCs/>
        </w:rPr>
        <w:t>p</w:t>
      </w:r>
      <w:r w:rsidR="00A2415E" w:rsidRPr="00F5008E">
        <w:rPr>
          <w:i/>
          <w:iCs/>
        </w:rPr>
        <w:t>rocédure</w:t>
      </w:r>
      <w:r>
        <w:rPr>
          <w:i/>
          <w:iCs/>
        </w:rPr>
        <w:t xml:space="preserve"> globale d’</w:t>
      </w:r>
      <w:r w:rsidR="00275267" w:rsidRPr="00F5008E">
        <w:rPr>
          <w:i/>
          <w:iCs/>
        </w:rPr>
        <w:t>identit</w:t>
      </w:r>
      <w:r w:rsidR="00275267">
        <w:rPr>
          <w:i/>
          <w:iCs/>
        </w:rPr>
        <w:t>ovigilance</w:t>
      </w:r>
      <w:r w:rsidR="00862B65" w:rsidRPr="00F5008E">
        <w:rPr>
          <w:i/>
          <w:iCs/>
        </w:rPr>
        <w:t xml:space="preserve"> </w:t>
      </w:r>
      <w:r>
        <w:rPr>
          <w:i/>
          <w:iCs/>
        </w:rPr>
        <w:t>permettant :</w:t>
      </w:r>
      <w:bookmarkEnd w:id="111"/>
    </w:p>
    <w:p w14:paraId="500721DA" w14:textId="37C7268C" w:rsidR="00F04E85" w:rsidRDefault="00F04E85" w:rsidP="00F5008E">
      <w:pPr>
        <w:shd w:val="clear" w:color="auto" w:fill="F2F2F2" w:themeFill="background1" w:themeFillShade="F2"/>
        <w:rPr>
          <w:i/>
          <w:iCs/>
        </w:rPr>
      </w:pPr>
      <w:r>
        <w:rPr>
          <w:i/>
          <w:iCs/>
        </w:rPr>
        <w:t xml:space="preserve">- </w:t>
      </w:r>
      <w:r w:rsidR="00A2415E">
        <w:rPr>
          <w:i/>
          <w:iCs/>
        </w:rPr>
        <w:t>L</w:t>
      </w:r>
      <w:r w:rsidR="00164992" w:rsidRPr="00F5008E">
        <w:rPr>
          <w:i/>
          <w:iCs/>
        </w:rPr>
        <w:t xml:space="preserve">a traçabilité et l’identification des patients, des embryons et des biopsies embryonnaires à toutes les étapes de la prise en charge. </w:t>
      </w:r>
    </w:p>
    <w:p w14:paraId="321395EE" w14:textId="3F815B8A" w:rsidR="00A2415E" w:rsidRDefault="00F04E85" w:rsidP="00F04E85">
      <w:pPr>
        <w:shd w:val="clear" w:color="auto" w:fill="F2F2F2" w:themeFill="background1" w:themeFillShade="F2"/>
        <w:rPr>
          <w:i/>
          <w:iCs/>
        </w:rPr>
      </w:pPr>
      <w:r>
        <w:rPr>
          <w:i/>
          <w:iCs/>
        </w:rPr>
        <w:t xml:space="preserve">- </w:t>
      </w:r>
      <w:r w:rsidR="00A2415E">
        <w:rPr>
          <w:i/>
          <w:iCs/>
        </w:rPr>
        <w:t>L</w:t>
      </w:r>
      <w:r w:rsidR="00164992" w:rsidRPr="00F5008E">
        <w:rPr>
          <w:i/>
          <w:iCs/>
        </w:rPr>
        <w:t xml:space="preserve">a maitrise du risque lié aux erreurs d’identification </w:t>
      </w:r>
    </w:p>
    <w:p w14:paraId="0B0F3F92" w14:textId="58455476" w:rsidR="00A2415E" w:rsidRPr="00F5008E" w:rsidRDefault="00A2415E" w:rsidP="00F5008E">
      <w:pPr>
        <w:shd w:val="clear" w:color="auto" w:fill="F2F2F2" w:themeFill="background1" w:themeFillShade="F2"/>
        <w:rPr>
          <w:i/>
          <w:iCs/>
        </w:rPr>
      </w:pPr>
      <w:r>
        <w:rPr>
          <w:i/>
          <w:iCs/>
        </w:rPr>
        <w:t>- Le respect</w:t>
      </w:r>
      <w:r w:rsidRPr="00A2415E">
        <w:rPr>
          <w:i/>
          <w:iCs/>
        </w:rPr>
        <w:t xml:space="preserve"> </w:t>
      </w:r>
      <w:r>
        <w:rPr>
          <w:i/>
          <w:iCs/>
        </w:rPr>
        <w:t xml:space="preserve">de </w:t>
      </w:r>
      <w:r w:rsidRPr="0065748C">
        <w:rPr>
          <w:i/>
          <w:iCs/>
        </w:rPr>
        <w:t>la charte d’</w:t>
      </w:r>
      <w:r w:rsidR="00275267" w:rsidRPr="0065748C">
        <w:rPr>
          <w:i/>
          <w:iCs/>
        </w:rPr>
        <w:t>identitovigilance</w:t>
      </w:r>
      <w:r w:rsidRPr="0065748C">
        <w:rPr>
          <w:i/>
          <w:iCs/>
        </w:rPr>
        <w:t xml:space="preserve"> </w:t>
      </w:r>
    </w:p>
    <w:p w14:paraId="0EB1B11C" w14:textId="63E56590" w:rsidR="00164992" w:rsidRPr="00F5008E" w:rsidRDefault="00A2415E" w:rsidP="00F5008E">
      <w:pPr>
        <w:shd w:val="clear" w:color="auto" w:fill="F2F2F2" w:themeFill="background1" w:themeFillShade="F2"/>
        <w:rPr>
          <w:i/>
          <w:iCs/>
        </w:rPr>
      </w:pPr>
      <w:r>
        <w:rPr>
          <w:i/>
          <w:iCs/>
        </w:rPr>
        <w:t xml:space="preserve">- </w:t>
      </w:r>
      <w:r w:rsidR="00164992" w:rsidRPr="00F5008E">
        <w:rPr>
          <w:i/>
          <w:iCs/>
        </w:rPr>
        <w:t>La vérification de l’identité répétée</w:t>
      </w:r>
      <w:r>
        <w:rPr>
          <w:i/>
          <w:iCs/>
        </w:rPr>
        <w:t xml:space="preserve"> et tracée</w:t>
      </w:r>
      <w:r w:rsidR="00164992" w:rsidRPr="00F5008E">
        <w:rPr>
          <w:i/>
          <w:iCs/>
        </w:rPr>
        <w:t xml:space="preserve"> à chaque étape critique </w:t>
      </w:r>
    </w:p>
    <w:p w14:paraId="3C9FC326" w14:textId="0737124A" w:rsidR="00164992" w:rsidRPr="00F5008E" w:rsidRDefault="00A2415E" w:rsidP="00F5008E">
      <w:pPr>
        <w:shd w:val="clear" w:color="auto" w:fill="F2F2F2" w:themeFill="background1" w:themeFillShade="F2"/>
        <w:rPr>
          <w:i/>
          <w:iCs/>
        </w:rPr>
      </w:pPr>
      <w:r>
        <w:rPr>
          <w:i/>
          <w:iCs/>
        </w:rPr>
        <w:t xml:space="preserve">- </w:t>
      </w:r>
      <w:r w:rsidR="00164992" w:rsidRPr="00F5008E">
        <w:rPr>
          <w:i/>
          <w:iCs/>
        </w:rPr>
        <w:t>L</w:t>
      </w:r>
      <w:r>
        <w:rPr>
          <w:i/>
          <w:iCs/>
        </w:rPr>
        <w:t>’application d</w:t>
      </w:r>
      <w:r w:rsidR="00164992" w:rsidRPr="00F5008E">
        <w:rPr>
          <w:i/>
          <w:iCs/>
        </w:rPr>
        <w:t xml:space="preserve">es dispositions communes à toute prise en charge en AMP </w:t>
      </w:r>
      <w:r>
        <w:rPr>
          <w:i/>
          <w:iCs/>
        </w:rPr>
        <w:t>(</w:t>
      </w:r>
      <w:r w:rsidRPr="0065748C">
        <w:rPr>
          <w:i/>
          <w:iCs/>
        </w:rPr>
        <w:t xml:space="preserve">identification individuelle </w:t>
      </w:r>
      <w:r>
        <w:rPr>
          <w:i/>
          <w:iCs/>
        </w:rPr>
        <w:t xml:space="preserve">de la </w:t>
      </w:r>
      <w:r w:rsidR="00164992" w:rsidRPr="00F5008E">
        <w:rPr>
          <w:i/>
          <w:iCs/>
        </w:rPr>
        <w:t xml:space="preserve">culture des </w:t>
      </w:r>
      <w:r w:rsidR="00275267" w:rsidRPr="00F5008E">
        <w:rPr>
          <w:i/>
          <w:iCs/>
        </w:rPr>
        <w:t>embryons,</w:t>
      </w:r>
      <w:r>
        <w:rPr>
          <w:i/>
          <w:iCs/>
        </w:rPr>
        <w:t xml:space="preserve"> etc.)</w:t>
      </w:r>
    </w:p>
    <w:p w14:paraId="1E35D66E" w14:textId="12700292" w:rsidR="00164992" w:rsidRPr="00F5008E" w:rsidRDefault="00164992" w:rsidP="00F5008E">
      <w:pPr>
        <w:shd w:val="clear" w:color="auto" w:fill="F2F2F2" w:themeFill="background1" w:themeFillShade="F2"/>
        <w:rPr>
          <w:i/>
          <w:iCs/>
        </w:rPr>
      </w:pPr>
    </w:p>
    <w:p w14:paraId="6E1F4EE3" w14:textId="4977764C" w:rsidR="00164992" w:rsidRPr="00F5008E" w:rsidRDefault="00A2415E" w:rsidP="00F5008E">
      <w:pPr>
        <w:shd w:val="clear" w:color="auto" w:fill="F2F2F2" w:themeFill="background1" w:themeFillShade="F2"/>
        <w:rPr>
          <w:i/>
          <w:iCs/>
        </w:rPr>
      </w:pPr>
      <w:r>
        <w:rPr>
          <w:i/>
          <w:iCs/>
        </w:rPr>
        <w:t>Préciser l</w:t>
      </w:r>
      <w:r w:rsidR="00164992" w:rsidRPr="00F5008E">
        <w:rPr>
          <w:i/>
          <w:iCs/>
        </w:rPr>
        <w:t xml:space="preserve">es procédures relatives aux dispositions de traçabilité spécifiques au DPI </w:t>
      </w:r>
      <w:r w:rsidR="00275267" w:rsidRPr="00F5008E">
        <w:rPr>
          <w:i/>
          <w:iCs/>
        </w:rPr>
        <w:t>concern</w:t>
      </w:r>
      <w:r w:rsidR="00275267">
        <w:rPr>
          <w:i/>
          <w:iCs/>
        </w:rPr>
        <w:t xml:space="preserve">ant </w:t>
      </w:r>
      <w:r w:rsidR="00275267" w:rsidRPr="00F5008E">
        <w:rPr>
          <w:i/>
          <w:iCs/>
        </w:rPr>
        <w:t>le</w:t>
      </w:r>
      <w:r w:rsidR="00164992" w:rsidRPr="00F5008E">
        <w:rPr>
          <w:i/>
          <w:iCs/>
        </w:rPr>
        <w:t xml:space="preserve"> couple ou la femme non mariée, le prélèvement de cellules embryonnaires et le diagnostic génétique sur ces cellules embryonnaires incluant aussi la transmission du résultat des examens, pour chaque embryon portant un numéro unique à chaque tentative.</w:t>
      </w:r>
    </w:p>
    <w:p w14:paraId="6BE45B7D" w14:textId="3296BA94" w:rsidR="00164992" w:rsidRPr="00F5008E" w:rsidRDefault="00164992" w:rsidP="00F5008E">
      <w:pPr>
        <w:shd w:val="clear" w:color="auto" w:fill="F2F2F2" w:themeFill="background1" w:themeFillShade="F2"/>
        <w:rPr>
          <w:i/>
          <w:iCs/>
        </w:rPr>
      </w:pPr>
    </w:p>
    <w:p w14:paraId="5B809675" w14:textId="3DFEE880" w:rsidR="00164992" w:rsidRPr="00F5008E" w:rsidRDefault="00164992" w:rsidP="00F5008E">
      <w:pPr>
        <w:shd w:val="clear" w:color="auto" w:fill="F2F2F2" w:themeFill="background1" w:themeFillShade="F2"/>
        <w:rPr>
          <w:i/>
          <w:iCs/>
        </w:rPr>
      </w:pPr>
      <w:r w:rsidRPr="00F5008E">
        <w:rPr>
          <w:i/>
          <w:iCs/>
        </w:rPr>
        <w:t>Un double contrôle par une seconde personne ou via un système électronique qualifié pour les étapes identifiées comme critiques est recommandé. Ces vérifications sont tracées. Des procédures claires et détaillées permettent aux personnels concernés de bien identifier ces étapes.</w:t>
      </w:r>
    </w:p>
    <w:p w14:paraId="0F328106" w14:textId="77777777" w:rsidR="00A2415E" w:rsidRPr="00164992" w:rsidRDefault="00A2415E" w:rsidP="00164992"/>
    <w:p w14:paraId="79E77C35" w14:textId="7E1CB7DD" w:rsidR="00606409" w:rsidRPr="00606409" w:rsidRDefault="00606409" w:rsidP="00CA3D34">
      <w:pPr>
        <w:pStyle w:val="Titre2"/>
      </w:pPr>
      <w:bookmarkStart w:id="112" w:name="_Toc211239530"/>
      <w:bookmarkStart w:id="113" w:name="_Toc211503180"/>
      <w:r w:rsidRPr="00606409">
        <w:t>Gestion des risques</w:t>
      </w:r>
      <w:bookmarkEnd w:id="112"/>
      <w:bookmarkEnd w:id="113"/>
    </w:p>
    <w:p w14:paraId="4094FB6F" w14:textId="77777777" w:rsidR="00606409" w:rsidRPr="00606409" w:rsidRDefault="00606409" w:rsidP="00606409">
      <w:pPr>
        <w:rPr>
          <w:b/>
          <w:bCs/>
          <w:color w:val="002060"/>
        </w:rPr>
      </w:pPr>
    </w:p>
    <w:p w14:paraId="2E7EA6AB" w14:textId="332FD057" w:rsidR="00606409" w:rsidRDefault="00606409" w:rsidP="00DB618D">
      <w:pPr>
        <w:pStyle w:val="Titre3"/>
      </w:pPr>
      <w:bookmarkStart w:id="114" w:name="_Toc211239531"/>
      <w:bookmarkStart w:id="115" w:name="_Toc211503181"/>
      <w:r>
        <w:lastRenderedPageBreak/>
        <w:t xml:space="preserve">Gestion des risques </w:t>
      </w:r>
      <w:r w:rsidRPr="00CA53A2">
        <w:rPr>
          <w:i/>
          <w:iCs/>
        </w:rPr>
        <w:t>a priori</w:t>
      </w:r>
      <w:bookmarkEnd w:id="114"/>
      <w:bookmarkEnd w:id="115"/>
    </w:p>
    <w:p w14:paraId="53E33A80" w14:textId="601F5DB5" w:rsidR="00F237DD" w:rsidRDefault="00F237DD" w:rsidP="00DB618D">
      <w:pPr>
        <w:pStyle w:val="Titre3"/>
      </w:pPr>
    </w:p>
    <w:p w14:paraId="71E4ED4F" w14:textId="1BAF4AD5" w:rsidR="003E34BD" w:rsidRDefault="00A2415E" w:rsidP="00A2415E">
      <w:pPr>
        <w:shd w:val="clear" w:color="auto" w:fill="F2F2F2" w:themeFill="background1" w:themeFillShade="F2"/>
        <w:rPr>
          <w:i/>
          <w:iCs/>
        </w:rPr>
      </w:pPr>
      <w:r w:rsidRPr="00F5008E">
        <w:rPr>
          <w:i/>
          <w:iCs/>
        </w:rPr>
        <w:t>Décrire</w:t>
      </w:r>
      <w:r w:rsidR="00BA3A2D" w:rsidRPr="00F5008E">
        <w:rPr>
          <w:i/>
          <w:iCs/>
        </w:rPr>
        <w:t xml:space="preserve"> la méthodologie </w:t>
      </w:r>
      <w:r w:rsidR="003E34BD">
        <w:rPr>
          <w:i/>
          <w:iCs/>
        </w:rPr>
        <w:t xml:space="preserve">commune </w:t>
      </w:r>
      <w:r>
        <w:rPr>
          <w:i/>
          <w:iCs/>
        </w:rPr>
        <w:t>d’élaboration d’u</w:t>
      </w:r>
      <w:r w:rsidRPr="0065748C">
        <w:rPr>
          <w:i/>
          <w:iCs/>
        </w:rPr>
        <w:t xml:space="preserve">ne cartographie des risques </w:t>
      </w:r>
      <w:r>
        <w:rPr>
          <w:i/>
          <w:iCs/>
        </w:rPr>
        <w:t>et de</w:t>
      </w:r>
      <w:r w:rsidR="00BA3A2D" w:rsidRPr="00F5008E">
        <w:rPr>
          <w:i/>
          <w:iCs/>
        </w:rPr>
        <w:t xml:space="preserve"> </w:t>
      </w:r>
      <w:r>
        <w:rPr>
          <w:i/>
          <w:iCs/>
        </w:rPr>
        <w:t xml:space="preserve">mise en </w:t>
      </w:r>
      <w:r w:rsidR="00CA53A2" w:rsidRPr="00F5008E">
        <w:rPr>
          <w:i/>
          <w:iCs/>
        </w:rPr>
        <w:t xml:space="preserve">œuvre des mesures </w:t>
      </w:r>
      <w:r w:rsidR="003E34BD">
        <w:rPr>
          <w:i/>
          <w:iCs/>
        </w:rPr>
        <w:t>de</w:t>
      </w:r>
      <w:r w:rsidR="00CA53A2" w:rsidRPr="00F5008E">
        <w:rPr>
          <w:i/>
          <w:iCs/>
        </w:rPr>
        <w:t xml:space="preserve"> maîtrise </w:t>
      </w:r>
      <w:r w:rsidR="003E34BD">
        <w:rPr>
          <w:i/>
          <w:iCs/>
        </w:rPr>
        <w:t>en prenant en compte :</w:t>
      </w:r>
    </w:p>
    <w:p w14:paraId="1BAF951C" w14:textId="7AA92EB9" w:rsidR="003E34BD" w:rsidRDefault="003E34BD" w:rsidP="00A2415E">
      <w:pPr>
        <w:shd w:val="clear" w:color="auto" w:fill="F2F2F2" w:themeFill="background1" w:themeFillShade="F2"/>
        <w:rPr>
          <w:i/>
          <w:iCs/>
        </w:rPr>
      </w:pPr>
      <w:r>
        <w:rPr>
          <w:i/>
          <w:iCs/>
        </w:rPr>
        <w:t>-  les trois</w:t>
      </w:r>
      <w:r w:rsidR="00CA53A2" w:rsidRPr="00F5008E">
        <w:rPr>
          <w:i/>
          <w:iCs/>
        </w:rPr>
        <w:t xml:space="preserve"> </w:t>
      </w:r>
      <w:r>
        <w:rPr>
          <w:i/>
          <w:iCs/>
        </w:rPr>
        <w:t>composantes</w:t>
      </w:r>
      <w:r w:rsidR="00CA53A2" w:rsidRPr="00F5008E">
        <w:rPr>
          <w:i/>
          <w:iCs/>
        </w:rPr>
        <w:t xml:space="preserve"> et leurs interfaces. </w:t>
      </w:r>
    </w:p>
    <w:p w14:paraId="744E96F7" w14:textId="270F8FD9" w:rsidR="00CA53A2" w:rsidRPr="00F5008E" w:rsidRDefault="003E34BD" w:rsidP="00867DFD">
      <w:pPr>
        <w:shd w:val="clear" w:color="auto" w:fill="F2F2F2" w:themeFill="background1" w:themeFillShade="F2"/>
        <w:rPr>
          <w:i/>
          <w:iCs/>
        </w:rPr>
      </w:pPr>
      <w:r>
        <w:rPr>
          <w:i/>
          <w:iCs/>
        </w:rPr>
        <w:t xml:space="preserve">- la </w:t>
      </w:r>
      <w:r w:rsidR="00CA53A2" w:rsidRPr="00F5008E">
        <w:rPr>
          <w:i/>
          <w:iCs/>
        </w:rPr>
        <w:t xml:space="preserve">synthèse annuelle </w:t>
      </w:r>
      <w:r>
        <w:rPr>
          <w:i/>
          <w:iCs/>
        </w:rPr>
        <w:t>(</w:t>
      </w:r>
      <w:r w:rsidR="00CA53A2" w:rsidRPr="00F5008E">
        <w:rPr>
          <w:i/>
          <w:iCs/>
        </w:rPr>
        <w:t>bilan des actions mises en œuvre dans le cadre de la politique d’amélioration de la qualité et de la sécurité des soins de(s) l’établissement(s) de santé concernés, de la revue de direction prévue dans le cadre des accréditations Cofrac</w:t>
      </w:r>
      <w:r>
        <w:rPr>
          <w:i/>
          <w:iCs/>
        </w:rPr>
        <w:t>).</w:t>
      </w:r>
    </w:p>
    <w:p w14:paraId="210CE64C" w14:textId="1B0E5066" w:rsidR="00A2415E" w:rsidRDefault="003E34BD" w:rsidP="00F5008E">
      <w:pPr>
        <w:shd w:val="clear" w:color="auto" w:fill="F2F2F2" w:themeFill="background1" w:themeFillShade="F2"/>
        <w:rPr>
          <w:i/>
          <w:iCs/>
        </w:rPr>
      </w:pPr>
      <w:r>
        <w:rPr>
          <w:i/>
          <w:iCs/>
        </w:rPr>
        <w:t>- Le c</w:t>
      </w:r>
      <w:r w:rsidRPr="0065748C">
        <w:rPr>
          <w:i/>
          <w:iCs/>
        </w:rPr>
        <w:t xml:space="preserve">ontrôle qualité </w:t>
      </w:r>
      <w:r>
        <w:rPr>
          <w:i/>
          <w:iCs/>
        </w:rPr>
        <w:t xml:space="preserve">externe </w:t>
      </w:r>
      <w:r w:rsidRPr="0065748C">
        <w:rPr>
          <w:i/>
          <w:iCs/>
        </w:rPr>
        <w:t>périodique</w:t>
      </w:r>
      <w:r>
        <w:rPr>
          <w:i/>
          <w:iCs/>
        </w:rPr>
        <w:t xml:space="preserve"> mis en place (</w:t>
      </w:r>
      <w:r w:rsidRPr="0065748C">
        <w:rPr>
          <w:i/>
          <w:iCs/>
        </w:rPr>
        <w:t>national</w:t>
      </w:r>
      <w:r>
        <w:rPr>
          <w:i/>
          <w:iCs/>
        </w:rPr>
        <w:t>,</w:t>
      </w:r>
      <w:r w:rsidRPr="0065748C">
        <w:rPr>
          <w:i/>
          <w:iCs/>
        </w:rPr>
        <w:t xml:space="preserve"> international</w:t>
      </w:r>
      <w:r>
        <w:rPr>
          <w:i/>
          <w:iCs/>
        </w:rPr>
        <w:t>)</w:t>
      </w:r>
    </w:p>
    <w:p w14:paraId="13609DA0" w14:textId="7C8BC7FB" w:rsidR="00CA3D34" w:rsidRPr="00F5008E" w:rsidRDefault="00CA3D34" w:rsidP="00F5008E">
      <w:pPr>
        <w:shd w:val="clear" w:color="auto" w:fill="FFFFFF" w:themeFill="background1"/>
        <w:rPr>
          <w:i/>
          <w:iCs/>
        </w:rPr>
      </w:pPr>
    </w:p>
    <w:p w14:paraId="4C58E385" w14:textId="34AFF94F" w:rsidR="00357D45" w:rsidRPr="00357D45" w:rsidRDefault="00606409">
      <w:pPr>
        <w:pStyle w:val="Titre3"/>
      </w:pPr>
      <w:bookmarkStart w:id="116" w:name="_Toc211503182"/>
      <w:bookmarkStart w:id="117" w:name="_Toc211239532"/>
      <w:r>
        <w:t xml:space="preserve">Gestion des risques </w:t>
      </w:r>
      <w:r w:rsidRPr="00CA53A2">
        <w:rPr>
          <w:i/>
          <w:iCs/>
        </w:rPr>
        <w:t>a posteriori</w:t>
      </w:r>
      <w:bookmarkEnd w:id="116"/>
      <w:r w:rsidRPr="00CA53A2">
        <w:rPr>
          <w:i/>
          <w:iCs/>
        </w:rPr>
        <w:t xml:space="preserve"> </w:t>
      </w:r>
      <w:bookmarkEnd w:id="117"/>
    </w:p>
    <w:p w14:paraId="13A2E758" w14:textId="77777777" w:rsidR="00F237DD" w:rsidRPr="00F237DD" w:rsidRDefault="00F237DD" w:rsidP="00F5008E">
      <w:pPr>
        <w:pStyle w:val="Titre3"/>
      </w:pPr>
    </w:p>
    <w:p w14:paraId="097C216A" w14:textId="1C59C680" w:rsidR="00606409" w:rsidRDefault="00606409" w:rsidP="00F5008E">
      <w:pPr>
        <w:pStyle w:val="Titre4"/>
      </w:pPr>
      <w:bookmarkStart w:id="118" w:name="_Toc211239533"/>
      <w:bookmarkStart w:id="119" w:name="_Toc211503183"/>
      <w:r w:rsidRPr="009B14E3">
        <w:t>Gestion des non-</w:t>
      </w:r>
      <w:r w:rsidRPr="00357D45">
        <w:t>conformités</w:t>
      </w:r>
      <w:r w:rsidRPr="009B14E3">
        <w:t xml:space="preserve"> </w:t>
      </w:r>
      <w:bookmarkEnd w:id="118"/>
      <w:r w:rsidR="006F36EC" w:rsidRPr="009B14E3">
        <w:t>relatif au DPI</w:t>
      </w:r>
      <w:bookmarkEnd w:id="119"/>
    </w:p>
    <w:p w14:paraId="7EB86BEF" w14:textId="0411B49A" w:rsidR="00D96E6B" w:rsidRDefault="00D96E6B" w:rsidP="00D96E6B">
      <w:pPr>
        <w:pStyle w:val="Sansinterligne"/>
      </w:pPr>
    </w:p>
    <w:p w14:paraId="3CEBD6E2" w14:textId="073BCC04" w:rsidR="003E34BD" w:rsidRPr="00D96E6B" w:rsidRDefault="00D96E6B" w:rsidP="00D96E6B">
      <w:pPr>
        <w:shd w:val="clear" w:color="auto" w:fill="F2F2F2" w:themeFill="background1" w:themeFillShade="F2"/>
        <w:rPr>
          <w:i/>
          <w:iCs/>
        </w:rPr>
      </w:pPr>
      <w:r w:rsidRPr="00D96E6B">
        <w:rPr>
          <w:i/>
          <w:iCs/>
        </w:rPr>
        <w:t xml:space="preserve">Ecrire une procédure de signalement et de déclaration définissant </w:t>
      </w:r>
      <w:r w:rsidR="00CA53A2" w:rsidRPr="00D96E6B">
        <w:rPr>
          <w:i/>
          <w:iCs/>
        </w:rPr>
        <w:t>les modalités pour identifier et gérer les non-conformités</w:t>
      </w:r>
      <w:r w:rsidR="00BA3A2D">
        <w:rPr>
          <w:i/>
          <w:iCs/>
        </w:rPr>
        <w:t xml:space="preserve"> en prenant en compte les éléments suivant</w:t>
      </w:r>
      <w:r w:rsidR="003E34BD">
        <w:rPr>
          <w:i/>
          <w:iCs/>
        </w:rPr>
        <w:t xml:space="preserve">s : </w:t>
      </w:r>
    </w:p>
    <w:p w14:paraId="0E586183" w14:textId="315CEA2C" w:rsidR="00CA53A2" w:rsidRPr="00F5008E" w:rsidRDefault="003E34BD" w:rsidP="00F5008E">
      <w:pPr>
        <w:shd w:val="clear" w:color="auto" w:fill="F2F2F2" w:themeFill="background1" w:themeFillShade="F2"/>
        <w:rPr>
          <w:i/>
          <w:iCs/>
        </w:rPr>
      </w:pPr>
      <w:r>
        <w:rPr>
          <w:i/>
          <w:iCs/>
        </w:rPr>
        <w:t xml:space="preserve">- </w:t>
      </w:r>
      <w:r w:rsidR="00D96E6B" w:rsidRPr="00F5008E">
        <w:rPr>
          <w:i/>
          <w:iCs/>
        </w:rPr>
        <w:t>T</w:t>
      </w:r>
      <w:r w:rsidR="00CA53A2" w:rsidRPr="00F5008E">
        <w:rPr>
          <w:i/>
          <w:iCs/>
        </w:rPr>
        <w:t xml:space="preserve">oute observation d’une </w:t>
      </w:r>
      <w:r w:rsidR="00275267" w:rsidRPr="00F5008E">
        <w:rPr>
          <w:i/>
          <w:iCs/>
        </w:rPr>
        <w:t>non-conformité</w:t>
      </w:r>
      <w:r w:rsidR="00CA53A2" w:rsidRPr="00F5008E">
        <w:rPr>
          <w:i/>
          <w:iCs/>
        </w:rPr>
        <w:t xml:space="preserve"> </w:t>
      </w:r>
      <w:r>
        <w:rPr>
          <w:i/>
          <w:iCs/>
        </w:rPr>
        <w:t>dans le cadre du</w:t>
      </w:r>
      <w:r w:rsidR="00CA53A2" w:rsidRPr="00F5008E">
        <w:rPr>
          <w:i/>
          <w:iCs/>
        </w:rPr>
        <w:t xml:space="preserve"> DPI doit être identifiée et enregistrée. Les causes sont recherchées et des mesures correctrices et préventives sont mises en place et partagées avec les personnels concernés. Ces mesures font l’objet d’une évaluation par l’équipe du CPDI après leur application.</w:t>
      </w:r>
      <w:r w:rsidRPr="00F5008E">
        <w:rPr>
          <w:i/>
          <w:iCs/>
        </w:rPr>
        <w:t xml:space="preserve"> </w:t>
      </w:r>
      <w:r w:rsidR="00CA53A2" w:rsidRPr="00F5008E">
        <w:rPr>
          <w:i/>
          <w:iCs/>
        </w:rPr>
        <w:t>Selon les cas, l’action appropriée va d’une information de l’équipe médicale à la destruction des embryons affectés par la non-conformité.</w:t>
      </w:r>
    </w:p>
    <w:p w14:paraId="5E0277C5" w14:textId="708CAACA" w:rsidR="00C2451F" w:rsidRPr="00F5008E" w:rsidRDefault="003E34BD" w:rsidP="00F5008E">
      <w:pPr>
        <w:shd w:val="clear" w:color="auto" w:fill="F2F2F2" w:themeFill="background1" w:themeFillShade="F2"/>
        <w:rPr>
          <w:i/>
          <w:iCs/>
        </w:rPr>
      </w:pPr>
      <w:r>
        <w:rPr>
          <w:i/>
          <w:iCs/>
        </w:rPr>
        <w:t xml:space="preserve">- </w:t>
      </w:r>
      <w:r w:rsidR="00C2451F" w:rsidRPr="00F5008E">
        <w:rPr>
          <w:i/>
          <w:iCs/>
        </w:rPr>
        <w:t>La revue périodique des non-conformités par les personnes en charge de la qualité et les membres de l’équipe pluridisciplinaire de CDPI permet le suivi et la clôture des événements ainsi que l’évaluation des actions mises en œuvre dans le cadre d’un processus d’amélioration continue de la qualité, d’autant que les mesures correctives sont susceptibles de concerner les différentes entités du CDPI (identification, conditionnement, transport des échantillons…).</w:t>
      </w:r>
    </w:p>
    <w:p w14:paraId="0CDE96CA" w14:textId="7A16C48E" w:rsidR="00C2451F" w:rsidRDefault="00C2451F" w:rsidP="00F5008E"/>
    <w:p w14:paraId="25803041" w14:textId="77777777" w:rsidR="003E34BD" w:rsidRPr="00F5008E" w:rsidRDefault="003E34BD" w:rsidP="00F5008E">
      <w:r w:rsidRPr="00F5008E">
        <w:t>Certaines non-conformités doivent donner lieu à une déclaration de vigilance qui selon sa nature relèvera soit de la réactovigilance, de la matériovigilance, de l’</w:t>
      </w:r>
      <w:proofErr w:type="spellStart"/>
      <w:r w:rsidRPr="00F5008E">
        <w:t>AMPvigilance</w:t>
      </w:r>
      <w:proofErr w:type="spellEnd"/>
      <w:r w:rsidRPr="00F5008E">
        <w:t>, voire de la déclaration des évènements indésirables graves associés aux soins (EIGS) en lien avec l’ARS</w:t>
      </w:r>
      <w:r w:rsidRPr="003E34BD">
        <w:rPr>
          <w:vertAlign w:val="superscript"/>
        </w:rPr>
        <w:footnoteReference w:id="9"/>
      </w:r>
      <w:r w:rsidRPr="00F5008E">
        <w:t xml:space="preserve">. </w:t>
      </w:r>
    </w:p>
    <w:p w14:paraId="5338676E" w14:textId="77777777" w:rsidR="00C2451F" w:rsidRPr="00CA53A2" w:rsidRDefault="00C2451F" w:rsidP="00F5008E"/>
    <w:p w14:paraId="69F4A2B0" w14:textId="4C5860DD" w:rsidR="00F237DD" w:rsidRDefault="00606409" w:rsidP="00F5008E">
      <w:pPr>
        <w:pStyle w:val="Titre4"/>
      </w:pPr>
      <w:bookmarkStart w:id="120" w:name="_Toc211503184"/>
      <w:bookmarkStart w:id="121" w:name="_Toc211239534"/>
      <w:r w:rsidRPr="009B14E3">
        <w:t>Dispositif de vigilances relatif au DPI</w:t>
      </w:r>
      <w:bookmarkEnd w:id="120"/>
      <w:r w:rsidRPr="009B14E3">
        <w:t xml:space="preserve"> </w:t>
      </w:r>
      <w:bookmarkEnd w:id="121"/>
    </w:p>
    <w:p w14:paraId="0F8E7E26" w14:textId="688A3565" w:rsidR="00862B65" w:rsidRDefault="00862B65" w:rsidP="00606409"/>
    <w:p w14:paraId="192F495F" w14:textId="0D035420" w:rsidR="00862B65" w:rsidRPr="00F5008E" w:rsidRDefault="003E34BD" w:rsidP="00F5008E">
      <w:pPr>
        <w:shd w:val="clear" w:color="auto" w:fill="F2F2F2" w:themeFill="background1" w:themeFillShade="F2"/>
        <w:rPr>
          <w:i/>
          <w:iCs/>
        </w:rPr>
      </w:pPr>
      <w:r>
        <w:rPr>
          <w:i/>
          <w:iCs/>
        </w:rPr>
        <w:t xml:space="preserve">Fournir la </w:t>
      </w:r>
      <w:r w:rsidR="00D551A2" w:rsidRPr="00D551A2">
        <w:rPr>
          <w:i/>
          <w:iCs/>
        </w:rPr>
        <w:t>procédure</w:t>
      </w:r>
      <w:r w:rsidR="00275267">
        <w:rPr>
          <w:i/>
          <w:iCs/>
        </w:rPr>
        <w:t xml:space="preserve"> de</w:t>
      </w:r>
      <w:r w:rsidR="00862B65" w:rsidRPr="00F5008E">
        <w:rPr>
          <w:i/>
          <w:iCs/>
        </w:rPr>
        <w:t xml:space="preserve"> vigilance prenant en compte </w:t>
      </w:r>
      <w:r w:rsidRPr="00F5008E">
        <w:rPr>
          <w:i/>
          <w:iCs/>
        </w:rPr>
        <w:t>les éléments suivants :</w:t>
      </w:r>
    </w:p>
    <w:p w14:paraId="237A891F" w14:textId="77777777" w:rsidR="00862B65" w:rsidRPr="00F5008E" w:rsidRDefault="00862B65" w:rsidP="00F5008E">
      <w:pPr>
        <w:shd w:val="clear" w:color="auto" w:fill="F2F2F2" w:themeFill="background1" w:themeFillShade="F2"/>
        <w:rPr>
          <w:i/>
          <w:iCs/>
        </w:rPr>
      </w:pPr>
    </w:p>
    <w:p w14:paraId="1A2D9169" w14:textId="08D84136" w:rsidR="00D551A2" w:rsidRPr="00F5008E" w:rsidRDefault="003E34BD" w:rsidP="00F5008E">
      <w:pPr>
        <w:shd w:val="clear" w:color="auto" w:fill="F2F2F2" w:themeFill="background1" w:themeFillShade="F2"/>
        <w:rPr>
          <w:i/>
          <w:iCs/>
        </w:rPr>
      </w:pPr>
      <w:r>
        <w:rPr>
          <w:i/>
          <w:iCs/>
        </w:rPr>
        <w:t xml:space="preserve">- </w:t>
      </w:r>
      <w:r w:rsidR="00C2451F" w:rsidRPr="00F5008E">
        <w:rPr>
          <w:i/>
          <w:iCs/>
        </w:rPr>
        <w:t>Les incidents survenant dans le contexte du DPI et entrant dans le champ de l’AMP Vigilance sont relatifs à la prise en charge en AMP du couple ou de la femme non mariée et incluent des incidents spécifiques au DPI, notamment lors de l’étape de biopsie embryonnaire, pouvant aboutir à la perte de l’embryon ou, dans le cas d’un défaut de traçabilité, aboutissant au transfert d’un embryon atteint</w:t>
      </w:r>
      <w:r w:rsidR="00D551A2">
        <w:rPr>
          <w:i/>
          <w:iCs/>
        </w:rPr>
        <w:t>.</w:t>
      </w:r>
    </w:p>
    <w:p w14:paraId="4279696E" w14:textId="5D83416C" w:rsidR="00F237DD" w:rsidRPr="00F5008E" w:rsidRDefault="00F237DD" w:rsidP="00F5008E">
      <w:pPr>
        <w:shd w:val="clear" w:color="auto" w:fill="F2F2F2" w:themeFill="background1" w:themeFillShade="F2"/>
        <w:rPr>
          <w:i/>
          <w:iCs/>
        </w:rPr>
      </w:pPr>
    </w:p>
    <w:p w14:paraId="1302E1FF" w14:textId="0A8AA205" w:rsidR="00D551A2" w:rsidRDefault="003E34BD" w:rsidP="00F5008E">
      <w:pPr>
        <w:shd w:val="clear" w:color="auto" w:fill="F2F2F2" w:themeFill="background1" w:themeFillShade="F2"/>
        <w:rPr>
          <w:i/>
          <w:iCs/>
        </w:rPr>
      </w:pPr>
      <w:r>
        <w:rPr>
          <w:i/>
          <w:iCs/>
        </w:rPr>
        <w:t xml:space="preserve">- </w:t>
      </w:r>
      <w:r w:rsidR="00C2451F" w:rsidRPr="00F5008E">
        <w:rPr>
          <w:i/>
          <w:iCs/>
        </w:rPr>
        <w:t>Une procédure spécifique doit être disponible en cas de discordance des résultats, tant au niveau du centre d’AMP que du laboratoire effectuant l’examen génétique. Ces incidents doivent être signalés, par le professionnel qui les constate, au CLA</w:t>
      </w:r>
      <w:r w:rsidR="00357D45">
        <w:rPr>
          <w:i/>
          <w:iCs/>
        </w:rPr>
        <w:t>.</w:t>
      </w:r>
    </w:p>
    <w:p w14:paraId="7F524C58" w14:textId="366408F7" w:rsidR="00357D45" w:rsidRPr="0065748C" w:rsidRDefault="00D551A2" w:rsidP="00357D45">
      <w:pPr>
        <w:shd w:val="clear" w:color="auto" w:fill="F2F2F2" w:themeFill="background1" w:themeFillShade="F2"/>
        <w:rPr>
          <w:i/>
          <w:iCs/>
        </w:rPr>
      </w:pPr>
      <w:r>
        <w:rPr>
          <w:i/>
          <w:iCs/>
        </w:rPr>
        <w:t>- le rôle d</w:t>
      </w:r>
      <w:r w:rsidR="00C2451F" w:rsidRPr="00F5008E">
        <w:rPr>
          <w:i/>
          <w:iCs/>
        </w:rPr>
        <w:t xml:space="preserve">es </w:t>
      </w:r>
      <w:r w:rsidR="00357D45">
        <w:rPr>
          <w:i/>
          <w:iCs/>
        </w:rPr>
        <w:t>CLA</w:t>
      </w:r>
      <w:r w:rsidR="00C2451F" w:rsidRPr="00F5008E">
        <w:rPr>
          <w:i/>
          <w:iCs/>
        </w:rPr>
        <w:t>, doivent être connus par les personnels des trois composantes</w:t>
      </w:r>
      <w:r w:rsidR="00357D45">
        <w:rPr>
          <w:i/>
          <w:iCs/>
        </w:rPr>
        <w:t xml:space="preserve"> (</w:t>
      </w:r>
      <w:r w:rsidR="00C2451F" w:rsidRPr="00F5008E">
        <w:rPr>
          <w:i/>
          <w:iCs/>
        </w:rPr>
        <w:t>charge notamment la déclaration d’AMP vigilance à l’Agence de la biomédecine et la réalisation des enquêtes de vigilance</w:t>
      </w:r>
      <w:r w:rsidR="00357D45">
        <w:rPr>
          <w:i/>
          <w:iCs/>
        </w:rPr>
        <w:t xml:space="preserve"> afin </w:t>
      </w:r>
      <w:r w:rsidR="00357D45" w:rsidRPr="0065748C">
        <w:rPr>
          <w:i/>
          <w:iCs/>
        </w:rPr>
        <w:t>d’apprécier le risque de récidive et les conséquences de l’évènement afin de mettre en œuvre, le cas échéant, des mesures correctives.</w:t>
      </w:r>
    </w:p>
    <w:p w14:paraId="32512152" w14:textId="69DC3F92" w:rsidR="00357D45" w:rsidRDefault="00357D45" w:rsidP="00D551A2">
      <w:pPr>
        <w:shd w:val="clear" w:color="auto" w:fill="F2F2F2" w:themeFill="background1" w:themeFillShade="F2"/>
        <w:rPr>
          <w:i/>
          <w:iCs/>
        </w:rPr>
      </w:pPr>
      <w:r>
        <w:rPr>
          <w:i/>
          <w:iCs/>
        </w:rPr>
        <w:t xml:space="preserve">- </w:t>
      </w:r>
      <w:r w:rsidR="00C2451F" w:rsidRPr="00F5008E">
        <w:rPr>
          <w:i/>
          <w:iCs/>
        </w:rPr>
        <w:t xml:space="preserve">A défaut, le signalement de cet évènement de vigilance peut être fait à un correspondant identifié d’une autre vigilance réglementaire qui le transmettra au CLA ou à son suppléant selon les modalités </w:t>
      </w:r>
      <w:r>
        <w:rPr>
          <w:i/>
          <w:iCs/>
        </w:rPr>
        <w:t xml:space="preserve">à </w:t>
      </w:r>
      <w:r w:rsidR="00C2451F" w:rsidRPr="00F5008E">
        <w:rPr>
          <w:i/>
          <w:iCs/>
        </w:rPr>
        <w:t>précis</w:t>
      </w:r>
      <w:r>
        <w:rPr>
          <w:i/>
          <w:iCs/>
        </w:rPr>
        <w:t>er ici.</w:t>
      </w:r>
    </w:p>
    <w:p w14:paraId="0F71A806" w14:textId="69060DEB" w:rsidR="00B00E8D" w:rsidRPr="00F5008E" w:rsidRDefault="00C2451F" w:rsidP="00F5008E">
      <w:pPr>
        <w:shd w:val="clear" w:color="auto" w:fill="F2F2F2" w:themeFill="background1" w:themeFillShade="F2"/>
        <w:rPr>
          <w:i/>
          <w:iCs/>
        </w:rPr>
      </w:pPr>
      <w:r w:rsidRPr="00F5008E">
        <w:rPr>
          <w:i/>
          <w:iCs/>
        </w:rPr>
        <w:lastRenderedPageBreak/>
        <w:t xml:space="preserve"> Lors de la survenue d’un effet indésirable ou d’un incident tels que définis dans la réglementation en vigueur, l’enquête mise en œuvre par le correspondant local a notamment pour but </w:t>
      </w:r>
    </w:p>
    <w:p w14:paraId="57FFB9F3" w14:textId="088D773F" w:rsidR="00B00E8D" w:rsidRPr="00F5008E" w:rsidRDefault="00B00E8D" w:rsidP="00F5008E">
      <w:pPr>
        <w:shd w:val="clear" w:color="auto" w:fill="F2F2F2" w:themeFill="background1" w:themeFillShade="F2"/>
        <w:rPr>
          <w:i/>
          <w:iCs/>
        </w:rPr>
      </w:pPr>
    </w:p>
    <w:p w14:paraId="12993D21" w14:textId="1FFFAADB" w:rsidR="00D71729" w:rsidRPr="00F5008E" w:rsidRDefault="00D551A2" w:rsidP="00F5008E">
      <w:pPr>
        <w:shd w:val="clear" w:color="auto" w:fill="F2F2F2" w:themeFill="background1" w:themeFillShade="F2"/>
        <w:rPr>
          <w:i/>
          <w:iCs/>
        </w:rPr>
      </w:pPr>
      <w:r>
        <w:rPr>
          <w:i/>
          <w:iCs/>
        </w:rPr>
        <w:t>- T</w:t>
      </w:r>
      <w:r w:rsidR="00C2451F" w:rsidRPr="00F5008E">
        <w:rPr>
          <w:i/>
          <w:iCs/>
        </w:rPr>
        <w:t>out évènement indésirable grave survenant lors de la réalisation d’un DPI, incluant les erreurs de diagnostic, doit être signalé dans le cadre du système de signalement interne des évènements indésirables de l’établissement autorisé pour le DPI par le responsable assurance qualité du laboratoire diagnostique ou la personne responsable de la qualité du CDPI. La PR du centre d’AMP en est informée.</w:t>
      </w:r>
      <w:r w:rsidR="00357D45">
        <w:rPr>
          <w:i/>
          <w:iCs/>
        </w:rPr>
        <w:t xml:space="preserve"> </w:t>
      </w:r>
      <w:r w:rsidR="00C2451F" w:rsidRPr="00F5008E">
        <w:rPr>
          <w:i/>
          <w:iCs/>
        </w:rPr>
        <w:t>Selon la nature de cet évènement, il pourra faire l’objet d’une déclaration au dispositif de vigilance concerné.</w:t>
      </w:r>
    </w:p>
    <w:p w14:paraId="4E1AB1C6" w14:textId="77777777" w:rsidR="006267EE" w:rsidRPr="004B7B7D" w:rsidRDefault="006267EE" w:rsidP="004B7B7D"/>
    <w:p w14:paraId="1F2F774B" w14:textId="673D5F2A" w:rsidR="00647E67" w:rsidRDefault="00647E67" w:rsidP="00501B97">
      <w:pPr>
        <w:pStyle w:val="Titre1"/>
      </w:pPr>
      <w:bookmarkStart w:id="122" w:name="_Toc211239535"/>
      <w:bookmarkStart w:id="123" w:name="_Toc211503185"/>
      <w:r w:rsidRPr="00014C9A">
        <w:t xml:space="preserve">ARTICLE </w:t>
      </w:r>
      <w:r w:rsidR="00606409">
        <w:t>7</w:t>
      </w:r>
      <w:r>
        <w:t xml:space="preserve"> : </w:t>
      </w:r>
      <w:r w:rsidR="00CD2598">
        <w:t xml:space="preserve">ORGANISATION DES DIFFERENTES ETAPES DU DPI ET </w:t>
      </w:r>
      <w:r w:rsidR="00744280">
        <w:t>PARCOURS PATIENT</w:t>
      </w:r>
      <w:bookmarkEnd w:id="122"/>
      <w:bookmarkEnd w:id="123"/>
    </w:p>
    <w:p w14:paraId="4FB05CE0" w14:textId="7961DB62" w:rsidR="00501B97" w:rsidRDefault="00501B97" w:rsidP="00DB618D"/>
    <w:p w14:paraId="0569DA39" w14:textId="77777777" w:rsidR="00880C90" w:rsidRPr="00275267" w:rsidRDefault="00880C90" w:rsidP="00F5008E">
      <w:pPr>
        <w:shd w:val="clear" w:color="auto" w:fill="F2F2F2" w:themeFill="background1" w:themeFillShade="F2"/>
        <w:rPr>
          <w:i/>
          <w:iCs/>
        </w:rPr>
      </w:pPr>
      <w:r w:rsidRPr="00275267">
        <w:rPr>
          <w:i/>
          <w:iCs/>
        </w:rPr>
        <w:t xml:space="preserve">Fournir </w:t>
      </w:r>
    </w:p>
    <w:p w14:paraId="23128735" w14:textId="05ED8E12" w:rsidR="006C286D" w:rsidRPr="00275267" w:rsidRDefault="00880C90" w:rsidP="00F5008E">
      <w:pPr>
        <w:shd w:val="clear" w:color="auto" w:fill="F2F2F2" w:themeFill="background1" w:themeFillShade="F2"/>
        <w:rPr>
          <w:i/>
          <w:iCs/>
        </w:rPr>
      </w:pPr>
      <w:r w:rsidRPr="00275267">
        <w:rPr>
          <w:i/>
          <w:iCs/>
        </w:rPr>
        <w:t xml:space="preserve">- </w:t>
      </w:r>
      <w:r w:rsidR="006C286D" w:rsidRPr="00275267">
        <w:rPr>
          <w:i/>
          <w:iCs/>
        </w:rPr>
        <w:t>S</w:t>
      </w:r>
      <w:r w:rsidRPr="00275267">
        <w:rPr>
          <w:i/>
          <w:iCs/>
        </w:rPr>
        <w:t>ous forme de schéma le parcours patient de votre structure</w:t>
      </w:r>
      <w:r w:rsidR="006C286D" w:rsidRPr="00275267">
        <w:rPr>
          <w:i/>
          <w:iCs/>
        </w:rPr>
        <w:t xml:space="preserve"> </w:t>
      </w:r>
      <w:r w:rsidR="00275267" w:rsidRPr="00275267">
        <w:rPr>
          <w:i/>
          <w:iCs/>
        </w:rPr>
        <w:t>(c</w:t>
      </w:r>
      <w:r w:rsidRPr="00275267">
        <w:rPr>
          <w:i/>
          <w:iCs/>
        </w:rPr>
        <w:t>i-dessous un exemple</w:t>
      </w:r>
      <w:r w:rsidR="00275267" w:rsidRPr="00275267">
        <w:rPr>
          <w:i/>
          <w:iCs/>
        </w:rPr>
        <w:t>)</w:t>
      </w:r>
    </w:p>
    <w:p w14:paraId="0CAB90D9" w14:textId="179F5076" w:rsidR="00880C90" w:rsidRPr="00275267" w:rsidRDefault="00880C90" w:rsidP="00F5008E">
      <w:pPr>
        <w:shd w:val="clear" w:color="auto" w:fill="F2F2F2" w:themeFill="background1" w:themeFillShade="F2"/>
        <w:rPr>
          <w:i/>
          <w:iCs/>
        </w:rPr>
      </w:pPr>
      <w:r w:rsidRPr="00275267">
        <w:rPr>
          <w:i/>
          <w:iCs/>
        </w:rPr>
        <w:t xml:space="preserve">- </w:t>
      </w:r>
      <w:r w:rsidR="006C286D" w:rsidRPr="00275267">
        <w:rPr>
          <w:i/>
          <w:iCs/>
        </w:rPr>
        <w:t>U</w:t>
      </w:r>
      <w:r w:rsidRPr="00275267">
        <w:rPr>
          <w:i/>
          <w:iCs/>
        </w:rPr>
        <w:t>n</w:t>
      </w:r>
      <w:r w:rsidR="007B5C86">
        <w:rPr>
          <w:i/>
          <w:iCs/>
        </w:rPr>
        <w:t xml:space="preserve">e procédure globale du parcours patient et </w:t>
      </w:r>
      <w:r w:rsidR="00357D45" w:rsidRPr="00275267">
        <w:rPr>
          <w:i/>
          <w:iCs/>
        </w:rPr>
        <w:t>notamment</w:t>
      </w:r>
      <w:r w:rsidR="006C286D" w:rsidRPr="00275267">
        <w:rPr>
          <w:i/>
          <w:iCs/>
        </w:rPr>
        <w:t xml:space="preserve"> </w:t>
      </w:r>
      <w:r w:rsidR="0044366E" w:rsidRPr="00275267">
        <w:rPr>
          <w:i/>
          <w:iCs/>
        </w:rPr>
        <w:t xml:space="preserve">les modalités d’informations </w:t>
      </w:r>
      <w:r w:rsidR="006C286D" w:rsidRPr="00275267">
        <w:rPr>
          <w:i/>
          <w:iCs/>
        </w:rPr>
        <w:t xml:space="preserve">à chaque étape </w:t>
      </w:r>
      <w:r w:rsidR="00AF5627" w:rsidRPr="00275267">
        <w:rPr>
          <w:i/>
          <w:iCs/>
        </w:rPr>
        <w:t>(annexe 9)</w:t>
      </w:r>
    </w:p>
    <w:p w14:paraId="65C35533" w14:textId="57884F69" w:rsidR="00AE419C" w:rsidRPr="00275267" w:rsidRDefault="00880C90" w:rsidP="00F5008E">
      <w:pPr>
        <w:shd w:val="clear" w:color="auto" w:fill="F2F2F2" w:themeFill="background1" w:themeFillShade="F2"/>
        <w:rPr>
          <w:i/>
          <w:iCs/>
        </w:rPr>
      </w:pPr>
      <w:r w:rsidRPr="00275267">
        <w:rPr>
          <w:i/>
          <w:iCs/>
        </w:rPr>
        <w:t xml:space="preserve">- </w:t>
      </w:r>
      <w:r w:rsidR="006C286D" w:rsidRPr="00275267">
        <w:rPr>
          <w:i/>
          <w:iCs/>
        </w:rPr>
        <w:t>L</w:t>
      </w:r>
      <w:r w:rsidRPr="00275267">
        <w:rPr>
          <w:i/>
          <w:iCs/>
        </w:rPr>
        <w:t xml:space="preserve">a liste </w:t>
      </w:r>
      <w:r w:rsidR="00606409" w:rsidRPr="00275267">
        <w:rPr>
          <w:i/>
          <w:iCs/>
        </w:rPr>
        <w:t xml:space="preserve">des procédures du CDPI </w:t>
      </w:r>
      <w:r w:rsidR="00AF5627" w:rsidRPr="00275267">
        <w:rPr>
          <w:i/>
          <w:iCs/>
        </w:rPr>
        <w:t>(</w:t>
      </w:r>
      <w:r w:rsidR="00041678" w:rsidRPr="00275267">
        <w:rPr>
          <w:i/>
          <w:iCs/>
        </w:rPr>
        <w:t xml:space="preserve">annexe </w:t>
      </w:r>
      <w:r w:rsidR="00AF5627" w:rsidRPr="00275267">
        <w:rPr>
          <w:i/>
          <w:iCs/>
        </w:rPr>
        <w:t>10)</w:t>
      </w:r>
      <w:r w:rsidR="00041678" w:rsidRPr="00275267">
        <w:rPr>
          <w:i/>
          <w:iCs/>
        </w:rPr>
        <w:t>.</w:t>
      </w:r>
      <w:r w:rsidRPr="00275267">
        <w:rPr>
          <w:i/>
          <w:iCs/>
        </w:rPr>
        <w:t xml:space="preserve"> </w:t>
      </w:r>
    </w:p>
    <w:p w14:paraId="63AAC5CA" w14:textId="235B635C" w:rsidR="00DB618D" w:rsidRDefault="00CD2598" w:rsidP="00AE419C">
      <w:r w:rsidRPr="00A75E2C">
        <w:rPr>
          <w:noProof/>
        </w:rPr>
        <w:lastRenderedPageBreak/>
        <w:drawing>
          <wp:anchor distT="0" distB="0" distL="114300" distR="114300" simplePos="0" relativeHeight="251658240" behindDoc="0" locked="0" layoutInCell="1" allowOverlap="1" wp14:anchorId="3F927D60" wp14:editId="465B955E">
            <wp:simplePos x="0" y="0"/>
            <wp:positionH relativeFrom="column">
              <wp:posOffset>33020</wp:posOffset>
            </wp:positionH>
            <wp:positionV relativeFrom="paragraph">
              <wp:posOffset>252730</wp:posOffset>
            </wp:positionV>
            <wp:extent cx="5642610" cy="6805930"/>
            <wp:effectExtent l="0" t="0" r="0" b="0"/>
            <wp:wrapThrough wrapText="bothSides">
              <wp:wrapPolygon edited="0">
                <wp:start x="0" y="0"/>
                <wp:lineTo x="0" y="21523"/>
                <wp:lineTo x="21512" y="21523"/>
                <wp:lineTo x="2151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4229"/>
                    <a:stretch/>
                  </pic:blipFill>
                  <pic:spPr bwMode="auto">
                    <a:xfrm>
                      <a:off x="0" y="0"/>
                      <a:ext cx="5642610" cy="6805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CD3D7D" w14:textId="41BCAD3E" w:rsidR="00AF5627" w:rsidRDefault="00AF5627" w:rsidP="0051121C">
      <w:bookmarkStart w:id="124" w:name="_Toc178284985"/>
      <w:bookmarkStart w:id="125" w:name="_Toc174356628"/>
      <w:bookmarkStart w:id="126" w:name="_Toc174978500"/>
      <w:bookmarkStart w:id="127" w:name="_Toc175321156"/>
    </w:p>
    <w:p w14:paraId="7E4EEC46" w14:textId="62C7E7EE" w:rsidR="00AF5627" w:rsidRDefault="00AF5627" w:rsidP="0051121C"/>
    <w:p w14:paraId="2A197E96" w14:textId="2F1A1443" w:rsidR="000503FC" w:rsidRDefault="000503FC" w:rsidP="0051121C"/>
    <w:p w14:paraId="16882B07" w14:textId="00E77979" w:rsidR="000503FC" w:rsidRDefault="000503FC" w:rsidP="0051121C"/>
    <w:p w14:paraId="4B2BC6D6" w14:textId="6977DC34" w:rsidR="000503FC" w:rsidRDefault="000503FC" w:rsidP="0051121C"/>
    <w:p w14:paraId="3647A1BD" w14:textId="77777777" w:rsidR="000503FC" w:rsidRDefault="000503FC" w:rsidP="0051121C"/>
    <w:p w14:paraId="5522A184" w14:textId="77777777" w:rsidR="00D915F9" w:rsidRPr="0051121C" w:rsidRDefault="00D915F9" w:rsidP="0051121C"/>
    <w:p w14:paraId="162AE59F" w14:textId="07D582E8" w:rsidR="00C34C17" w:rsidRPr="0051121C" w:rsidRDefault="009D0840" w:rsidP="00F563FB">
      <w:pPr>
        <w:pStyle w:val="Titre1"/>
        <w:rPr>
          <w:rStyle w:val="Accentuationlgre"/>
          <w:rFonts w:ascii="Arial Gras" w:hAnsi="Arial Gras" w:cstheme="majorBidi"/>
          <w:color w:val="002060"/>
          <w:spacing w:val="0"/>
          <w:sz w:val="20"/>
          <w:szCs w:val="32"/>
        </w:rPr>
      </w:pPr>
      <w:bookmarkStart w:id="128" w:name="_Toc211239557"/>
      <w:bookmarkStart w:id="129" w:name="_Toc211503186"/>
      <w:r w:rsidRPr="0051121C">
        <w:lastRenderedPageBreak/>
        <w:t>ANNEXES</w:t>
      </w:r>
      <w:bookmarkEnd w:id="124"/>
      <w:bookmarkEnd w:id="128"/>
      <w:bookmarkEnd w:id="129"/>
    </w:p>
    <w:p w14:paraId="0698AC42" w14:textId="77777777" w:rsidR="001C6138" w:rsidRPr="00A35F14" w:rsidRDefault="001C6138" w:rsidP="00F563FB">
      <w:pPr>
        <w:rPr>
          <w:b/>
          <w:bCs/>
          <w:strike/>
          <w:color w:val="002060"/>
        </w:rPr>
      </w:pPr>
    </w:p>
    <w:p w14:paraId="043F2A56" w14:textId="77777777" w:rsidR="001C6138" w:rsidRPr="00A35F14" w:rsidRDefault="001C6138" w:rsidP="00F563FB">
      <w:pPr>
        <w:rPr>
          <w:b/>
          <w:bCs/>
          <w:strike/>
          <w:color w:val="002060"/>
        </w:rPr>
      </w:pPr>
    </w:p>
    <w:p w14:paraId="5A6BB0B8" w14:textId="2A0CBF66" w:rsidR="00F563FB" w:rsidRPr="00744280" w:rsidRDefault="00F563FB" w:rsidP="00F563FB">
      <w:pPr>
        <w:rPr>
          <w:b/>
          <w:bCs/>
          <w:color w:val="002060"/>
        </w:rPr>
      </w:pPr>
      <w:r w:rsidRPr="00CD2598">
        <w:rPr>
          <w:b/>
          <w:bCs/>
          <w:color w:val="002060"/>
        </w:rPr>
        <w:t>Annexe 1</w:t>
      </w:r>
      <w:r w:rsidR="00CD2598" w:rsidRPr="00CD2598">
        <w:rPr>
          <w:b/>
          <w:bCs/>
          <w:color w:val="002060"/>
        </w:rPr>
        <w:t>-</w:t>
      </w:r>
      <w:r w:rsidRPr="00CD2598">
        <w:rPr>
          <w:b/>
          <w:bCs/>
          <w:color w:val="002060"/>
        </w:rPr>
        <w:t xml:space="preserve"> Ar</w:t>
      </w:r>
      <w:r w:rsidRPr="00744280">
        <w:rPr>
          <w:b/>
          <w:bCs/>
          <w:color w:val="002060"/>
        </w:rPr>
        <w:t>rêtés</w:t>
      </w:r>
      <w:r w:rsidR="005F06E9">
        <w:rPr>
          <w:b/>
          <w:bCs/>
          <w:color w:val="002060"/>
        </w:rPr>
        <w:t xml:space="preserve"> et décrets</w:t>
      </w:r>
    </w:p>
    <w:p w14:paraId="76D1EFF3" w14:textId="77777777" w:rsidR="00F563FB" w:rsidRPr="00744280" w:rsidRDefault="00F563FB" w:rsidP="00F563FB">
      <w:pPr>
        <w:pStyle w:val="Sansinterligne"/>
      </w:pPr>
    </w:p>
    <w:p w14:paraId="62B76D20" w14:textId="4E563BAB" w:rsidR="00744280" w:rsidRDefault="00F563FB" w:rsidP="00744280">
      <w:bookmarkStart w:id="130" w:name="_Toc178266370"/>
      <w:bookmarkStart w:id="131" w:name="_Toc175337973"/>
      <w:bookmarkStart w:id="132" w:name="_Toc175338096"/>
      <w:bookmarkStart w:id="133" w:name="_Toc175338150"/>
      <w:bookmarkStart w:id="134" w:name="_Toc175338204"/>
      <w:bookmarkStart w:id="135" w:name="_Toc176182528"/>
      <w:r w:rsidRPr="00744280">
        <w:rPr>
          <w:b/>
          <w:bCs/>
          <w:color w:val="002060"/>
        </w:rPr>
        <w:t>Annexe 1a</w:t>
      </w:r>
      <w:r w:rsidRPr="00744280">
        <w:rPr>
          <w:b/>
          <w:bCs/>
          <w:color w:val="002060"/>
        </w:rPr>
        <w:tab/>
      </w:r>
      <w:hyperlink r:id="rId13" w:history="1">
        <w:r w:rsidR="00744280" w:rsidRPr="00F00049">
          <w:rPr>
            <w:rStyle w:val="Lienhypertexte"/>
          </w:rPr>
          <w:t>Arrêté du 10 mars 2025 modifiant l’arrêté du 1er juin 2015 déterminant les recommandations de bonnes pratiques relatives aux modalités d’accès, de prise en charge des femmes enceintes et des couples, d’organisation et de fonctionnement des centres pluridisciplinaires de diagnostic prénatal en matière de diagnostic prénatal et de diagnostic préimplantatoire</w:t>
        </w:r>
      </w:hyperlink>
    </w:p>
    <w:p w14:paraId="09480AC8" w14:textId="77777777" w:rsidR="00357D45" w:rsidRDefault="00357D45" w:rsidP="00744280">
      <w:pPr>
        <w:rPr>
          <w:b/>
          <w:bCs/>
          <w:color w:val="002060"/>
        </w:rPr>
      </w:pPr>
    </w:p>
    <w:p w14:paraId="62F84C45" w14:textId="3947F91A" w:rsidR="00357D45" w:rsidRPr="007B5C86" w:rsidRDefault="00744280" w:rsidP="00744280">
      <w:pPr>
        <w:rPr>
          <w:rStyle w:val="Lienhypertexte"/>
        </w:rPr>
      </w:pPr>
      <w:r w:rsidRPr="00744280">
        <w:rPr>
          <w:b/>
          <w:bCs/>
          <w:color w:val="002060"/>
        </w:rPr>
        <w:t>Annexe 1b</w:t>
      </w:r>
      <w:r>
        <w:t xml:space="preserve">       </w:t>
      </w:r>
      <w:r w:rsidR="007B5C86">
        <w:fldChar w:fldCharType="begin"/>
      </w:r>
      <w:r w:rsidR="007B5C86">
        <w:instrText xml:space="preserve"> HYPERLINK "https://www.legifrance.gouv.fr/jorf/id/JORFTEXT000049832175" </w:instrText>
      </w:r>
      <w:r w:rsidR="007B5C86">
        <w:fldChar w:fldCharType="separate"/>
      </w:r>
      <w:r w:rsidRPr="007B5C86">
        <w:rPr>
          <w:rStyle w:val="Lienhypertexte"/>
        </w:rPr>
        <w:t>Arrêté du 18 juin 2024 relatif aux recommandations de bonnes pratiques en matière de diagnostic préimplantatoire</w:t>
      </w:r>
    </w:p>
    <w:p w14:paraId="54D22B27" w14:textId="2D912BD9" w:rsidR="00744280" w:rsidRDefault="007B5C86" w:rsidP="00744280">
      <w:r>
        <w:fldChar w:fldCharType="end"/>
      </w:r>
    </w:p>
    <w:p w14:paraId="1DCE53A2" w14:textId="09E54296" w:rsidR="00744280" w:rsidRDefault="00744280" w:rsidP="00744280">
      <w:r w:rsidRPr="00744280">
        <w:rPr>
          <w:b/>
          <w:bCs/>
          <w:color w:val="002060"/>
        </w:rPr>
        <w:t>Annexe 1c</w:t>
      </w:r>
      <w:r>
        <w:tab/>
      </w:r>
      <w:hyperlink r:id="rId14" w:history="1">
        <w:r w:rsidRPr="00AF5627">
          <w:rPr>
            <w:rStyle w:val="Lienhypertexte"/>
          </w:rPr>
          <w:t>Arrêté du 5 octobre 2023 modifiant l'arrêté du 11 avril 2008 relatif aux règles de bonnes pratiques cliniques et biologiques d'assistance médicale à la procréation et abrogeant l'arrêté du 30 juin 2017 modifiant l'arrêté du 11 avril 2008</w:t>
        </w:r>
      </w:hyperlink>
    </w:p>
    <w:p w14:paraId="77ADF754" w14:textId="67F64BB9" w:rsidR="005F06E9" w:rsidRDefault="005F06E9" w:rsidP="00744280"/>
    <w:p w14:paraId="64273C7F" w14:textId="27B36029" w:rsidR="005F06E9" w:rsidRPr="00AF5627" w:rsidRDefault="005F06E9" w:rsidP="005F06E9">
      <w:pPr>
        <w:rPr>
          <w:rStyle w:val="Lienhypertexte"/>
        </w:rPr>
      </w:pPr>
      <w:r w:rsidRPr="007B5C86">
        <w:rPr>
          <w:b/>
          <w:bCs/>
        </w:rPr>
        <w:t>Annexe 1d</w:t>
      </w:r>
      <w:r>
        <w:t xml:space="preserve">  </w:t>
      </w:r>
      <w:r w:rsidR="00AF5627">
        <w:fldChar w:fldCharType="begin"/>
      </w:r>
      <w:r w:rsidR="00AF5627">
        <w:instrText xml:space="preserve"> HYPERLINK "https://www.legifrance.gouv.fr/jorf/id/JORFTEXT000048737387" </w:instrText>
      </w:r>
      <w:r w:rsidR="00AF5627">
        <w:fldChar w:fldCharType="separate"/>
      </w:r>
      <w:r w:rsidRPr="00AF5627">
        <w:rPr>
          <w:rStyle w:val="Lienhypertexte"/>
        </w:rPr>
        <w:t>Décret du 30 décembre 2023 relatif à l’examen des caractéristiques génétiques d’une personne</w:t>
      </w:r>
    </w:p>
    <w:p w14:paraId="6EC3DBEF" w14:textId="00D5B540" w:rsidR="005F06E9" w:rsidRDefault="00AF5627" w:rsidP="00744280">
      <w:r>
        <w:fldChar w:fldCharType="end"/>
      </w:r>
    </w:p>
    <w:p w14:paraId="3182684A" w14:textId="0F6B26E0" w:rsidR="00F847C9" w:rsidRPr="00A35F14" w:rsidRDefault="00F847C9" w:rsidP="00744280">
      <w:pPr>
        <w:rPr>
          <w:strike/>
        </w:rPr>
      </w:pPr>
    </w:p>
    <w:p w14:paraId="3DCECC94" w14:textId="77777777" w:rsidR="00F847C9" w:rsidRPr="00A35F14" w:rsidRDefault="00F847C9" w:rsidP="009D0840">
      <w:pPr>
        <w:pStyle w:val="Sansinterligne"/>
        <w:rPr>
          <w:strike/>
        </w:rPr>
      </w:pPr>
    </w:p>
    <w:bookmarkEnd w:id="130"/>
    <w:p w14:paraId="0633EE1A" w14:textId="7B2F7C0D" w:rsidR="00F847C9" w:rsidRPr="00A35F14" w:rsidRDefault="00F847C9" w:rsidP="00F847C9">
      <w:pPr>
        <w:rPr>
          <w:strike/>
        </w:rPr>
      </w:pPr>
    </w:p>
    <w:p w14:paraId="67B6EAC4" w14:textId="6F595EB5" w:rsidR="00F847C9" w:rsidRPr="00A35F14" w:rsidRDefault="00F847C9" w:rsidP="00F847C9">
      <w:pPr>
        <w:rPr>
          <w:strike/>
        </w:rPr>
      </w:pPr>
    </w:p>
    <w:p w14:paraId="3EE82616" w14:textId="6B09E418" w:rsidR="00F847C9" w:rsidRPr="00A35F14" w:rsidRDefault="00F847C9" w:rsidP="00F847C9">
      <w:pPr>
        <w:rPr>
          <w:strike/>
        </w:rPr>
      </w:pPr>
    </w:p>
    <w:p w14:paraId="75805F35" w14:textId="2BDE57A2" w:rsidR="00F847C9" w:rsidRPr="00A35F14" w:rsidRDefault="00F847C9">
      <w:pPr>
        <w:jc w:val="left"/>
        <w:rPr>
          <w:strike/>
        </w:rPr>
      </w:pPr>
      <w:r w:rsidRPr="00A35F14">
        <w:rPr>
          <w:strike/>
        </w:rPr>
        <w:br w:type="page"/>
      </w:r>
    </w:p>
    <w:p w14:paraId="4D3BC873" w14:textId="44B46DC1" w:rsidR="00CC1171" w:rsidRPr="00317E27" w:rsidRDefault="00CC1171" w:rsidP="009D0840">
      <w:pPr>
        <w:rPr>
          <w:bCs/>
          <w:color w:val="002060"/>
        </w:rPr>
      </w:pPr>
      <w:bookmarkStart w:id="136" w:name="_Toc178266371"/>
      <w:r w:rsidRPr="00317E27">
        <w:rPr>
          <w:b/>
          <w:bCs/>
          <w:color w:val="002060"/>
        </w:rPr>
        <w:lastRenderedPageBreak/>
        <w:t xml:space="preserve">Annexe </w:t>
      </w:r>
      <w:bookmarkStart w:id="137" w:name="_Toc174356629"/>
      <w:bookmarkEnd w:id="125"/>
      <w:r w:rsidR="00744280">
        <w:rPr>
          <w:b/>
          <w:bCs/>
          <w:color w:val="002060"/>
        </w:rPr>
        <w:t xml:space="preserve">2 </w:t>
      </w:r>
      <w:r w:rsidR="005F260F" w:rsidRPr="00317E27">
        <w:rPr>
          <w:b/>
          <w:bCs/>
          <w:color w:val="002060"/>
        </w:rPr>
        <w:t xml:space="preserve">- </w:t>
      </w:r>
      <w:r w:rsidRPr="00317E27">
        <w:rPr>
          <w:b/>
          <w:bCs/>
          <w:color w:val="002060"/>
        </w:rPr>
        <w:t xml:space="preserve">Membres du </w:t>
      </w:r>
      <w:r w:rsidR="00C037E9" w:rsidRPr="00317E27">
        <w:rPr>
          <w:b/>
          <w:bCs/>
          <w:color w:val="002060"/>
        </w:rPr>
        <w:t>centre de diagnostic pré-implantatoire</w:t>
      </w:r>
      <w:bookmarkEnd w:id="126"/>
      <w:bookmarkEnd w:id="127"/>
      <w:bookmarkEnd w:id="131"/>
      <w:bookmarkEnd w:id="132"/>
      <w:bookmarkEnd w:id="133"/>
      <w:bookmarkEnd w:id="134"/>
      <w:bookmarkEnd w:id="135"/>
      <w:bookmarkEnd w:id="136"/>
      <w:bookmarkEnd w:id="137"/>
    </w:p>
    <w:p w14:paraId="1E6887E4" w14:textId="4117747B" w:rsidR="00CC1171" w:rsidRDefault="00CC1171" w:rsidP="00CC1171">
      <w:pPr>
        <w:rPr>
          <w:strike/>
        </w:rPr>
      </w:pPr>
    </w:p>
    <w:tbl>
      <w:tblPr>
        <w:tblStyle w:val="Trameclaire-Accent1"/>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3402"/>
        <w:gridCol w:w="1840"/>
        <w:gridCol w:w="1560"/>
        <w:gridCol w:w="2122"/>
      </w:tblGrid>
      <w:tr w:rsidR="00187D49" w:rsidRPr="00A35F14" w14:paraId="2F28E51C" w14:textId="77777777" w:rsidTr="00187D49">
        <w:trPr>
          <w:cnfStyle w:val="100000000000" w:firstRow="1" w:lastRow="0" w:firstColumn="0" w:lastColumn="0" w:oddVBand="0" w:evenVBand="0" w:oddHBand="0" w:evenHBand="0" w:firstRowFirstColumn="0" w:firstRowLastColumn="0" w:lastRowFirstColumn="0" w:lastRowLastColumn="0"/>
          <w:trHeight w:hRule="exact" w:val="227"/>
          <w:jc w:val="center"/>
        </w:trPr>
        <w:tc>
          <w:tcPr>
            <w:tcW w:w="5000" w:type="pct"/>
            <w:gridSpan w:val="4"/>
            <w:tcBorders>
              <w:top w:val="none" w:sz="0" w:space="0" w:color="auto"/>
              <w:left w:val="none" w:sz="0" w:space="0" w:color="auto"/>
              <w:bottom w:val="none" w:sz="0" w:space="0" w:color="auto"/>
              <w:right w:val="none" w:sz="0" w:space="0" w:color="auto"/>
            </w:tcBorders>
            <w:shd w:val="clear" w:color="auto" w:fill="BDD6EE" w:themeFill="accent5" w:themeFillTint="66"/>
            <w:noWrap/>
          </w:tcPr>
          <w:p w14:paraId="09302B2D" w14:textId="77777777" w:rsidR="00187D49" w:rsidRPr="0072223C" w:rsidRDefault="00187D49" w:rsidP="00372DB9">
            <w:pPr>
              <w:rPr>
                <w:rFonts w:cs="Arial"/>
                <w:color w:val="002060"/>
                <w:sz w:val="16"/>
                <w:szCs w:val="16"/>
              </w:rPr>
            </w:pPr>
            <w:r w:rsidRPr="0072223C">
              <w:rPr>
                <w:rFonts w:cs="Arial"/>
                <w:color w:val="002060"/>
                <w:sz w:val="16"/>
                <w:szCs w:val="16"/>
              </w:rPr>
              <w:t>Liste des praticiens agréés</w:t>
            </w:r>
            <w:r>
              <w:rPr>
                <w:rStyle w:val="Appelnotedebasdep"/>
                <w:rFonts w:cs="Arial"/>
                <w:color w:val="002060"/>
                <w:sz w:val="16"/>
                <w:szCs w:val="16"/>
              </w:rPr>
              <w:footnoteReference w:id="10"/>
            </w:r>
          </w:p>
          <w:p w14:paraId="17F50E0E" w14:textId="77777777" w:rsidR="00187D49" w:rsidRPr="00A35F14" w:rsidRDefault="00187D49" w:rsidP="00372DB9">
            <w:pPr>
              <w:rPr>
                <w:rFonts w:cs="Arial"/>
                <w:strike/>
                <w:color w:val="002060"/>
                <w:sz w:val="16"/>
                <w:szCs w:val="16"/>
              </w:rPr>
            </w:pPr>
          </w:p>
        </w:tc>
      </w:tr>
      <w:tr w:rsidR="00187D49" w:rsidRPr="006126EF" w14:paraId="380C5723" w14:textId="77777777" w:rsidTr="00372DB9">
        <w:trPr>
          <w:trHeight w:hRule="exact" w:val="227"/>
          <w:jc w:val="center"/>
        </w:trPr>
        <w:tc>
          <w:tcPr>
            <w:tcW w:w="1906" w:type="pct"/>
            <w:shd w:val="clear" w:color="auto" w:fill="DEEAF6" w:themeFill="accent5" w:themeFillTint="33"/>
            <w:noWrap/>
          </w:tcPr>
          <w:p w14:paraId="4EEA3B96" w14:textId="77777777" w:rsidR="00187D49" w:rsidRPr="00A35F14" w:rsidRDefault="00187D49" w:rsidP="00372DB9">
            <w:pPr>
              <w:rPr>
                <w:rFonts w:cs="Arial"/>
                <w:b/>
                <w:bCs/>
                <w:strike/>
                <w:color w:val="002060"/>
                <w:sz w:val="16"/>
                <w:szCs w:val="16"/>
              </w:rPr>
            </w:pPr>
          </w:p>
        </w:tc>
        <w:tc>
          <w:tcPr>
            <w:tcW w:w="1031" w:type="pct"/>
            <w:shd w:val="clear" w:color="auto" w:fill="DEEAF6" w:themeFill="accent5" w:themeFillTint="33"/>
          </w:tcPr>
          <w:p w14:paraId="0AFCD039" w14:textId="77777777" w:rsidR="00187D49" w:rsidRPr="006126EF" w:rsidRDefault="00187D49" w:rsidP="00372DB9">
            <w:pPr>
              <w:rPr>
                <w:rFonts w:cs="Arial"/>
                <w:b/>
                <w:bCs/>
                <w:color w:val="002060"/>
                <w:sz w:val="16"/>
                <w:szCs w:val="16"/>
              </w:rPr>
            </w:pPr>
            <w:r w:rsidRPr="006126EF">
              <w:rPr>
                <w:rFonts w:cs="Arial"/>
                <w:b/>
                <w:bCs/>
                <w:color w:val="002060"/>
                <w:sz w:val="16"/>
                <w:szCs w:val="16"/>
              </w:rPr>
              <w:t>Nom – Prénom</w:t>
            </w:r>
          </w:p>
        </w:tc>
        <w:tc>
          <w:tcPr>
            <w:tcW w:w="874" w:type="pct"/>
            <w:shd w:val="clear" w:color="auto" w:fill="DEEAF6" w:themeFill="accent5" w:themeFillTint="33"/>
          </w:tcPr>
          <w:p w14:paraId="1FCCCF4F" w14:textId="77777777" w:rsidR="00187D49" w:rsidRPr="006126EF" w:rsidRDefault="00187D49" w:rsidP="00372DB9">
            <w:pPr>
              <w:rPr>
                <w:rFonts w:cs="Arial"/>
                <w:b/>
                <w:bCs/>
                <w:color w:val="002060"/>
                <w:kern w:val="32"/>
                <w:sz w:val="16"/>
                <w:szCs w:val="16"/>
              </w:rPr>
            </w:pPr>
            <w:r w:rsidRPr="006126EF">
              <w:rPr>
                <w:rFonts w:cs="Arial"/>
                <w:b/>
                <w:bCs/>
                <w:color w:val="002060"/>
                <w:sz w:val="16"/>
                <w:szCs w:val="16"/>
              </w:rPr>
              <w:t>Date agrément</w:t>
            </w:r>
          </w:p>
        </w:tc>
        <w:tc>
          <w:tcPr>
            <w:tcW w:w="1188" w:type="pct"/>
            <w:shd w:val="clear" w:color="auto" w:fill="DEEAF6" w:themeFill="accent5" w:themeFillTint="33"/>
          </w:tcPr>
          <w:p w14:paraId="0F39D0CF" w14:textId="77777777" w:rsidR="00187D49" w:rsidRPr="006126EF" w:rsidRDefault="00187D49" w:rsidP="00372DB9">
            <w:pPr>
              <w:rPr>
                <w:rFonts w:cs="Arial"/>
                <w:b/>
                <w:bCs/>
                <w:color w:val="002060"/>
                <w:kern w:val="32"/>
                <w:sz w:val="16"/>
                <w:szCs w:val="16"/>
              </w:rPr>
            </w:pPr>
            <w:r w:rsidRPr="006126EF">
              <w:rPr>
                <w:rFonts w:cs="Arial"/>
                <w:b/>
                <w:bCs/>
                <w:color w:val="002060"/>
                <w:sz w:val="16"/>
                <w:szCs w:val="16"/>
              </w:rPr>
              <w:t>Temps dédié DPI</w:t>
            </w:r>
          </w:p>
        </w:tc>
      </w:tr>
      <w:tr w:rsidR="00187D49" w:rsidRPr="00A35F14" w14:paraId="2DC8BA1C" w14:textId="77777777" w:rsidTr="00372DB9">
        <w:trPr>
          <w:trHeight w:hRule="exact" w:val="227"/>
          <w:jc w:val="center"/>
        </w:trPr>
        <w:tc>
          <w:tcPr>
            <w:tcW w:w="1906" w:type="pct"/>
            <w:shd w:val="clear" w:color="auto" w:fill="DEEAF6" w:themeFill="accent5" w:themeFillTint="33"/>
            <w:noWrap/>
          </w:tcPr>
          <w:p w14:paraId="4C77AD8F" w14:textId="77777777" w:rsidR="00187D49" w:rsidRPr="006126EF" w:rsidRDefault="00187D49" w:rsidP="00372DB9">
            <w:pPr>
              <w:jc w:val="left"/>
              <w:rPr>
                <w:rFonts w:cs="Arial"/>
                <w:b/>
                <w:bCs/>
                <w:color w:val="002060"/>
                <w:sz w:val="16"/>
                <w:szCs w:val="16"/>
              </w:rPr>
            </w:pPr>
            <w:r w:rsidRPr="006126EF">
              <w:rPr>
                <w:rFonts w:cs="Arial"/>
                <w:b/>
                <w:bCs/>
                <w:color w:val="002060"/>
                <w:sz w:val="16"/>
                <w:szCs w:val="16"/>
              </w:rPr>
              <w:t>Prélèvement cellulaire sur l’embryon obtenu par fécondation in vitro</w:t>
            </w:r>
          </w:p>
        </w:tc>
        <w:tc>
          <w:tcPr>
            <w:tcW w:w="1031" w:type="pct"/>
          </w:tcPr>
          <w:p w14:paraId="264A2A9B" w14:textId="77777777" w:rsidR="00187D49" w:rsidRPr="00A35F14" w:rsidRDefault="00187D49" w:rsidP="00372DB9">
            <w:pPr>
              <w:rPr>
                <w:rStyle w:val="Accentuationlgre"/>
                <w:strike/>
                <w:color w:val="002060"/>
                <w:sz w:val="16"/>
                <w:szCs w:val="16"/>
              </w:rPr>
            </w:pPr>
          </w:p>
        </w:tc>
        <w:tc>
          <w:tcPr>
            <w:tcW w:w="874" w:type="pct"/>
          </w:tcPr>
          <w:p w14:paraId="0651461E" w14:textId="77777777" w:rsidR="00187D49" w:rsidRPr="00A35F14" w:rsidRDefault="00187D49" w:rsidP="00372DB9">
            <w:pPr>
              <w:rPr>
                <w:rFonts w:cs="Arial"/>
                <w:strike/>
                <w:color w:val="002060"/>
                <w:sz w:val="16"/>
                <w:szCs w:val="16"/>
              </w:rPr>
            </w:pPr>
          </w:p>
        </w:tc>
        <w:tc>
          <w:tcPr>
            <w:tcW w:w="1188" w:type="pct"/>
          </w:tcPr>
          <w:p w14:paraId="76FB9D26" w14:textId="77777777" w:rsidR="00187D49" w:rsidRPr="00A35F14" w:rsidRDefault="00187D49" w:rsidP="00372DB9">
            <w:pPr>
              <w:rPr>
                <w:rFonts w:cs="Arial"/>
                <w:strike/>
                <w:color w:val="002060"/>
                <w:sz w:val="16"/>
                <w:szCs w:val="16"/>
              </w:rPr>
            </w:pPr>
          </w:p>
        </w:tc>
      </w:tr>
      <w:tr w:rsidR="00187D49" w:rsidRPr="00A35F14" w14:paraId="68B84259" w14:textId="77777777" w:rsidTr="00372DB9">
        <w:trPr>
          <w:trHeight w:hRule="exact" w:val="227"/>
          <w:jc w:val="center"/>
        </w:trPr>
        <w:tc>
          <w:tcPr>
            <w:tcW w:w="1906" w:type="pct"/>
            <w:shd w:val="clear" w:color="auto" w:fill="DEEAF6" w:themeFill="accent5" w:themeFillTint="33"/>
            <w:noWrap/>
          </w:tcPr>
          <w:p w14:paraId="08988F07" w14:textId="77777777" w:rsidR="00187D49" w:rsidRPr="006126EF" w:rsidRDefault="00187D49" w:rsidP="00372DB9">
            <w:pPr>
              <w:jc w:val="left"/>
              <w:rPr>
                <w:rFonts w:cs="Arial"/>
                <w:b/>
                <w:bCs/>
                <w:color w:val="002060"/>
                <w:sz w:val="16"/>
                <w:szCs w:val="16"/>
              </w:rPr>
            </w:pPr>
            <w:r w:rsidRPr="006126EF">
              <w:rPr>
                <w:rFonts w:cs="Arial"/>
                <w:b/>
                <w:bCs/>
                <w:color w:val="002060"/>
                <w:sz w:val="16"/>
                <w:szCs w:val="16"/>
              </w:rPr>
              <w:t>Examens de cytogénétique, y compris moléculaire, sur la ou les cellules embryonnaires</w:t>
            </w:r>
          </w:p>
        </w:tc>
        <w:tc>
          <w:tcPr>
            <w:tcW w:w="1031" w:type="pct"/>
          </w:tcPr>
          <w:p w14:paraId="5FB3C4A0" w14:textId="77777777" w:rsidR="00187D49" w:rsidRPr="00A35F14" w:rsidRDefault="00187D49" w:rsidP="00372DB9">
            <w:pPr>
              <w:pStyle w:val="DecimalAligned"/>
              <w:rPr>
                <w:rFonts w:ascii="Arial" w:hAnsi="Arial" w:cs="Arial"/>
                <w:strike/>
                <w:color w:val="002060"/>
                <w:sz w:val="16"/>
                <w:szCs w:val="16"/>
              </w:rPr>
            </w:pPr>
          </w:p>
        </w:tc>
        <w:tc>
          <w:tcPr>
            <w:tcW w:w="874" w:type="pct"/>
          </w:tcPr>
          <w:p w14:paraId="0E8B1A1A" w14:textId="77777777" w:rsidR="00187D49" w:rsidRPr="00A35F14" w:rsidRDefault="00187D49" w:rsidP="00372DB9">
            <w:pPr>
              <w:pStyle w:val="DecimalAligned"/>
              <w:rPr>
                <w:rFonts w:ascii="Arial" w:hAnsi="Arial" w:cs="Arial"/>
                <w:strike/>
                <w:color w:val="002060"/>
                <w:sz w:val="16"/>
                <w:szCs w:val="16"/>
              </w:rPr>
            </w:pPr>
          </w:p>
        </w:tc>
        <w:tc>
          <w:tcPr>
            <w:tcW w:w="1188" w:type="pct"/>
          </w:tcPr>
          <w:p w14:paraId="0975011C" w14:textId="77777777" w:rsidR="00187D49" w:rsidRPr="00A35F14" w:rsidRDefault="00187D49" w:rsidP="00372DB9">
            <w:pPr>
              <w:pStyle w:val="DecimalAligned"/>
              <w:rPr>
                <w:rFonts w:ascii="Arial" w:hAnsi="Arial" w:cs="Arial"/>
                <w:strike/>
                <w:color w:val="002060"/>
                <w:sz w:val="16"/>
                <w:szCs w:val="16"/>
              </w:rPr>
            </w:pPr>
          </w:p>
        </w:tc>
      </w:tr>
      <w:tr w:rsidR="00187D49" w:rsidRPr="00A35F14" w14:paraId="6064EEF3" w14:textId="77777777" w:rsidTr="00372DB9">
        <w:trPr>
          <w:trHeight w:hRule="exact" w:val="482"/>
          <w:jc w:val="center"/>
        </w:trPr>
        <w:tc>
          <w:tcPr>
            <w:tcW w:w="1906" w:type="pct"/>
            <w:shd w:val="clear" w:color="auto" w:fill="DEEAF6" w:themeFill="accent5" w:themeFillTint="33"/>
            <w:noWrap/>
          </w:tcPr>
          <w:p w14:paraId="7FD62C7E" w14:textId="77777777" w:rsidR="00187D49" w:rsidRPr="006126EF" w:rsidRDefault="00187D49" w:rsidP="00372DB9">
            <w:pPr>
              <w:jc w:val="left"/>
              <w:rPr>
                <w:rFonts w:cs="Arial"/>
                <w:b/>
                <w:bCs/>
                <w:color w:val="002060"/>
                <w:sz w:val="16"/>
                <w:szCs w:val="16"/>
              </w:rPr>
            </w:pPr>
            <w:r w:rsidRPr="006126EF">
              <w:rPr>
                <w:rFonts w:cs="Arial"/>
                <w:b/>
                <w:bCs/>
                <w:color w:val="002060"/>
                <w:sz w:val="16"/>
                <w:szCs w:val="16"/>
              </w:rPr>
              <w:t>Examens de génétique moléculaire sur la ou les cellules embryonnaires</w:t>
            </w:r>
          </w:p>
        </w:tc>
        <w:tc>
          <w:tcPr>
            <w:tcW w:w="1031" w:type="pct"/>
          </w:tcPr>
          <w:p w14:paraId="5675C7A5" w14:textId="77777777" w:rsidR="00187D49" w:rsidRPr="00A35F14" w:rsidRDefault="00187D49" w:rsidP="00372DB9">
            <w:pPr>
              <w:pStyle w:val="DecimalAligned"/>
              <w:rPr>
                <w:rFonts w:ascii="Arial" w:hAnsi="Arial" w:cs="Arial"/>
                <w:strike/>
                <w:color w:val="002060"/>
                <w:sz w:val="16"/>
                <w:szCs w:val="16"/>
              </w:rPr>
            </w:pPr>
          </w:p>
        </w:tc>
        <w:tc>
          <w:tcPr>
            <w:tcW w:w="874" w:type="pct"/>
          </w:tcPr>
          <w:p w14:paraId="7F78F81A" w14:textId="77777777" w:rsidR="00187D49" w:rsidRPr="00A35F14" w:rsidRDefault="00187D49" w:rsidP="00372DB9">
            <w:pPr>
              <w:pStyle w:val="DecimalAligned"/>
              <w:rPr>
                <w:rFonts w:ascii="Arial" w:hAnsi="Arial" w:cs="Arial"/>
                <w:strike/>
                <w:color w:val="002060"/>
                <w:sz w:val="16"/>
                <w:szCs w:val="16"/>
              </w:rPr>
            </w:pPr>
          </w:p>
        </w:tc>
        <w:tc>
          <w:tcPr>
            <w:tcW w:w="1188" w:type="pct"/>
          </w:tcPr>
          <w:p w14:paraId="5ED3049D" w14:textId="77777777" w:rsidR="00187D49" w:rsidRPr="00A35F14" w:rsidRDefault="00187D49" w:rsidP="00372DB9">
            <w:pPr>
              <w:pStyle w:val="DecimalAligned"/>
              <w:rPr>
                <w:rFonts w:ascii="Arial" w:hAnsi="Arial" w:cs="Arial"/>
                <w:strike/>
                <w:color w:val="002060"/>
                <w:sz w:val="16"/>
                <w:szCs w:val="16"/>
              </w:rPr>
            </w:pPr>
          </w:p>
        </w:tc>
      </w:tr>
      <w:tr w:rsidR="00187D49" w:rsidRPr="00A35F14" w14:paraId="224C7BE6" w14:textId="77777777" w:rsidTr="00187D49">
        <w:trPr>
          <w:cnfStyle w:val="010000000000" w:firstRow="0" w:lastRow="1" w:firstColumn="0" w:lastColumn="0" w:oddVBand="0" w:evenVBand="0" w:oddHBand="0" w:evenHBand="0" w:firstRowFirstColumn="0" w:firstRowLastColumn="0" w:lastRowFirstColumn="0" w:lastRowLastColumn="0"/>
          <w:trHeight w:hRule="exact" w:val="227"/>
          <w:jc w:val="center"/>
        </w:trPr>
        <w:tc>
          <w:tcPr>
            <w:tcW w:w="1906" w:type="pct"/>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1B2FBA0B" w14:textId="77777777" w:rsidR="00187D49" w:rsidRPr="00A35F14" w:rsidRDefault="00187D49" w:rsidP="00372DB9">
            <w:pPr>
              <w:rPr>
                <w:rFonts w:cs="Arial"/>
                <w:strike/>
                <w:color w:val="002060"/>
                <w:sz w:val="16"/>
                <w:szCs w:val="16"/>
              </w:rPr>
            </w:pPr>
          </w:p>
        </w:tc>
        <w:tc>
          <w:tcPr>
            <w:tcW w:w="1031" w:type="pct"/>
            <w:tcBorders>
              <w:top w:val="none" w:sz="0" w:space="0" w:color="auto"/>
              <w:left w:val="none" w:sz="0" w:space="0" w:color="auto"/>
              <w:bottom w:val="none" w:sz="0" w:space="0" w:color="auto"/>
              <w:right w:val="none" w:sz="0" w:space="0" w:color="auto"/>
            </w:tcBorders>
          </w:tcPr>
          <w:p w14:paraId="110102B4" w14:textId="77777777" w:rsidR="00187D49" w:rsidRPr="00A35F14" w:rsidRDefault="00187D49" w:rsidP="00372DB9">
            <w:pPr>
              <w:pStyle w:val="DecimalAligned"/>
              <w:rPr>
                <w:rFonts w:ascii="Arial" w:hAnsi="Arial" w:cs="Arial"/>
                <w:b w:val="0"/>
                <w:bCs w:val="0"/>
                <w:strike/>
                <w:color w:val="002060"/>
                <w:sz w:val="16"/>
                <w:szCs w:val="16"/>
              </w:rPr>
            </w:pPr>
          </w:p>
        </w:tc>
        <w:tc>
          <w:tcPr>
            <w:tcW w:w="874" w:type="pct"/>
            <w:tcBorders>
              <w:top w:val="none" w:sz="0" w:space="0" w:color="auto"/>
              <w:left w:val="none" w:sz="0" w:space="0" w:color="auto"/>
              <w:bottom w:val="none" w:sz="0" w:space="0" w:color="auto"/>
              <w:right w:val="none" w:sz="0" w:space="0" w:color="auto"/>
            </w:tcBorders>
          </w:tcPr>
          <w:p w14:paraId="6ED16A89" w14:textId="77777777" w:rsidR="00187D49" w:rsidRPr="00A35F14" w:rsidRDefault="00187D49" w:rsidP="00372DB9">
            <w:pPr>
              <w:pStyle w:val="DecimalAligned"/>
              <w:rPr>
                <w:rFonts w:ascii="Arial" w:hAnsi="Arial" w:cs="Arial"/>
                <w:b w:val="0"/>
                <w:bCs w:val="0"/>
                <w:strike/>
                <w:color w:val="002060"/>
                <w:sz w:val="16"/>
                <w:szCs w:val="16"/>
              </w:rPr>
            </w:pPr>
          </w:p>
        </w:tc>
        <w:tc>
          <w:tcPr>
            <w:tcW w:w="1188" w:type="pct"/>
            <w:tcBorders>
              <w:top w:val="none" w:sz="0" w:space="0" w:color="auto"/>
              <w:left w:val="none" w:sz="0" w:space="0" w:color="auto"/>
              <w:bottom w:val="none" w:sz="0" w:space="0" w:color="auto"/>
              <w:right w:val="none" w:sz="0" w:space="0" w:color="auto"/>
            </w:tcBorders>
          </w:tcPr>
          <w:p w14:paraId="72F0FDFB" w14:textId="77777777" w:rsidR="00187D49" w:rsidRPr="00A35F14" w:rsidRDefault="00187D49" w:rsidP="00372DB9">
            <w:pPr>
              <w:pStyle w:val="DecimalAligned"/>
              <w:rPr>
                <w:rFonts w:ascii="Arial" w:hAnsi="Arial" w:cs="Arial"/>
                <w:b w:val="0"/>
                <w:bCs w:val="0"/>
                <w:strike/>
                <w:color w:val="002060"/>
                <w:sz w:val="16"/>
                <w:szCs w:val="16"/>
              </w:rPr>
            </w:pPr>
          </w:p>
        </w:tc>
      </w:tr>
    </w:tbl>
    <w:p w14:paraId="70BF870E" w14:textId="7EAD257C" w:rsidR="00187D49" w:rsidRDefault="00187D49" w:rsidP="00CC1171">
      <w:pPr>
        <w:rPr>
          <w:strike/>
        </w:rPr>
      </w:pPr>
    </w:p>
    <w:p w14:paraId="5383FA8F" w14:textId="77777777" w:rsidR="00187D49" w:rsidRPr="00A35F14" w:rsidRDefault="00187D49" w:rsidP="00CC1171">
      <w:pPr>
        <w:rPr>
          <w:strike/>
        </w:rPr>
      </w:pPr>
    </w:p>
    <w:tbl>
      <w:tblPr>
        <w:tblStyle w:val="Trameclaire-Accent1"/>
        <w:tblW w:w="4919" w:type="pct"/>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660" w:firstRow="1" w:lastRow="1" w:firstColumn="0" w:lastColumn="0" w:noHBand="1" w:noVBand="1"/>
      </w:tblPr>
      <w:tblGrid>
        <w:gridCol w:w="1657"/>
        <w:gridCol w:w="1032"/>
        <w:gridCol w:w="708"/>
        <w:gridCol w:w="1988"/>
        <w:gridCol w:w="1765"/>
        <w:gridCol w:w="1765"/>
      </w:tblGrid>
      <w:tr w:rsidR="00CC1171" w:rsidRPr="00A35F14" w14:paraId="7403067D" w14:textId="77777777" w:rsidTr="006126EF">
        <w:trPr>
          <w:cnfStyle w:val="100000000000" w:firstRow="1" w:lastRow="0" w:firstColumn="0" w:lastColumn="0" w:oddVBand="0" w:evenVBand="0" w:oddHBand="0" w:evenHBand="0" w:firstRowFirstColumn="0" w:firstRowLastColumn="0" w:lastRowFirstColumn="0" w:lastRowLastColumn="0"/>
          <w:trHeight w:val="227"/>
          <w:jc w:val="center"/>
        </w:trPr>
        <w:tc>
          <w:tcPr>
            <w:tcW w:w="5000" w:type="pct"/>
            <w:gridSpan w:val="6"/>
            <w:tcBorders>
              <w:top w:val="none" w:sz="0" w:space="0" w:color="auto"/>
              <w:left w:val="none" w:sz="0" w:space="0" w:color="auto"/>
              <w:bottom w:val="single" w:sz="4" w:space="0" w:color="auto"/>
              <w:right w:val="none" w:sz="0" w:space="0" w:color="auto"/>
            </w:tcBorders>
            <w:shd w:val="clear" w:color="auto" w:fill="BDD6EE" w:themeFill="accent5" w:themeFillTint="66"/>
          </w:tcPr>
          <w:p w14:paraId="530DFED0" w14:textId="77777777" w:rsidR="00CC1171" w:rsidRPr="004A17C0" w:rsidRDefault="00CC1171" w:rsidP="00372DB9">
            <w:pPr>
              <w:rPr>
                <w:rFonts w:cs="Arial"/>
                <w:color w:val="002060"/>
                <w:sz w:val="16"/>
                <w:szCs w:val="16"/>
              </w:rPr>
            </w:pPr>
          </w:p>
          <w:p w14:paraId="5AF55B96" w14:textId="77777777" w:rsidR="00CC1171" w:rsidRPr="004A17C0" w:rsidRDefault="00CC1171" w:rsidP="00372DB9">
            <w:pPr>
              <w:rPr>
                <w:rFonts w:cs="Arial"/>
                <w:b w:val="0"/>
                <w:bCs w:val="0"/>
                <w:color w:val="002060"/>
                <w:sz w:val="16"/>
                <w:szCs w:val="16"/>
              </w:rPr>
            </w:pPr>
            <w:r w:rsidRPr="004A17C0">
              <w:rPr>
                <w:rFonts w:cs="Arial"/>
                <w:color w:val="002060"/>
                <w:sz w:val="16"/>
                <w:szCs w:val="16"/>
              </w:rPr>
              <w:t>Coordonnateur</w:t>
            </w:r>
          </w:p>
          <w:p w14:paraId="11C76429" w14:textId="77777777" w:rsidR="00CC1171" w:rsidRPr="004A17C0" w:rsidRDefault="00CC1171" w:rsidP="00372DB9">
            <w:pPr>
              <w:rPr>
                <w:rFonts w:cs="Arial"/>
                <w:color w:val="002060"/>
                <w:sz w:val="16"/>
                <w:szCs w:val="16"/>
              </w:rPr>
            </w:pPr>
            <w:r w:rsidRPr="004A17C0">
              <w:rPr>
                <w:rFonts w:cs="Arial"/>
                <w:color w:val="002060"/>
                <w:sz w:val="16"/>
                <w:szCs w:val="16"/>
              </w:rPr>
              <w:t xml:space="preserve"> </w:t>
            </w:r>
          </w:p>
          <w:p w14:paraId="4FC61C25" w14:textId="5D746892" w:rsidR="0072223C" w:rsidRPr="0072223C" w:rsidRDefault="0072223C" w:rsidP="0072223C">
            <w:pPr>
              <w:rPr>
                <w:rFonts w:cs="Arial"/>
                <w:b w:val="0"/>
                <w:bCs w:val="0"/>
                <w:i/>
                <w:iCs/>
                <w:color w:val="002060"/>
                <w:sz w:val="16"/>
                <w:szCs w:val="16"/>
              </w:rPr>
            </w:pPr>
            <w:r w:rsidRPr="0072223C">
              <w:rPr>
                <w:rFonts w:cs="Arial"/>
                <w:b w:val="0"/>
                <w:bCs w:val="0"/>
                <w:i/>
                <w:iCs/>
                <w:color w:val="002060"/>
                <w:sz w:val="16"/>
                <w:szCs w:val="16"/>
              </w:rPr>
              <w:t>Article R2131-30 (Modifié par Décret n°2023-1038 du 13 novembre 2023 - art. 3)</w:t>
            </w:r>
          </w:p>
          <w:p w14:paraId="020C01BD" w14:textId="7E32855D" w:rsidR="0072223C" w:rsidRPr="0072223C" w:rsidRDefault="0072223C" w:rsidP="0072223C">
            <w:pPr>
              <w:rPr>
                <w:rFonts w:cs="Arial"/>
                <w:b w:val="0"/>
                <w:bCs w:val="0"/>
                <w:i/>
                <w:iCs/>
                <w:color w:val="002060"/>
                <w:sz w:val="16"/>
                <w:szCs w:val="16"/>
              </w:rPr>
            </w:pPr>
            <w:r w:rsidRPr="0072223C">
              <w:rPr>
                <w:rFonts w:cs="Arial"/>
                <w:b w:val="0"/>
                <w:bCs w:val="0"/>
                <w:i/>
                <w:iCs/>
                <w:color w:val="002060"/>
                <w:sz w:val="16"/>
                <w:szCs w:val="16"/>
              </w:rPr>
              <w:t>Les membres de l'équipe du centre de diagnostic préimplantatoire désignent parmi eux et pour une durée de deux ans renouvelable un coordonnateur chargé de veiller à l'organisation des activités du centre et notamment à la concertation entre les praticiens agrées et les autres membres de l'équipe.</w:t>
            </w:r>
          </w:p>
          <w:p w14:paraId="0228D86A" w14:textId="77777777" w:rsidR="00CC1171" w:rsidRPr="004A17C0" w:rsidRDefault="00CC1171" w:rsidP="00372DB9">
            <w:pPr>
              <w:rPr>
                <w:rFonts w:cs="Arial"/>
                <w:color w:val="002060"/>
                <w:sz w:val="16"/>
                <w:szCs w:val="16"/>
              </w:rPr>
            </w:pPr>
          </w:p>
        </w:tc>
      </w:tr>
      <w:tr w:rsidR="009A5B45" w:rsidRPr="00A35F14" w14:paraId="2F9B531C" w14:textId="77777777" w:rsidTr="006126EF">
        <w:trPr>
          <w:trHeight w:val="227"/>
          <w:jc w:val="center"/>
        </w:trPr>
        <w:tc>
          <w:tcPr>
            <w:tcW w:w="92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CDB28" w14:textId="786DE2F6" w:rsidR="00CC1171" w:rsidRPr="004A17C0" w:rsidRDefault="00CC1171" w:rsidP="00372DB9">
            <w:pPr>
              <w:rPr>
                <w:rFonts w:cs="Arial"/>
                <w:b/>
                <w:bCs/>
                <w:color w:val="002060"/>
                <w:sz w:val="16"/>
                <w:szCs w:val="16"/>
              </w:rPr>
            </w:pPr>
            <w:r w:rsidRPr="004A17C0">
              <w:rPr>
                <w:rFonts w:cs="Arial"/>
                <w:b/>
                <w:bCs/>
                <w:color w:val="002060"/>
                <w:sz w:val="16"/>
                <w:szCs w:val="16"/>
              </w:rPr>
              <w:t>Nom Prénom</w:t>
            </w:r>
            <w:r w:rsidR="00C037E9">
              <w:rPr>
                <w:rFonts w:cs="Arial"/>
                <w:b/>
                <w:bCs/>
                <w:color w:val="002060"/>
                <w:sz w:val="16"/>
                <w:szCs w:val="16"/>
              </w:rPr>
              <w:t xml:space="preserve"> Titulaire</w:t>
            </w:r>
          </w:p>
        </w:tc>
        <w:tc>
          <w:tcPr>
            <w:tcW w:w="976"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04DBE" w14:textId="77777777" w:rsidR="00CC1171" w:rsidRPr="004A17C0" w:rsidRDefault="00CC1171" w:rsidP="00372DB9">
            <w:pPr>
              <w:rPr>
                <w:rFonts w:cs="Arial"/>
                <w:b/>
                <w:bCs/>
                <w:color w:val="002060"/>
                <w:sz w:val="16"/>
                <w:szCs w:val="16"/>
              </w:rPr>
            </w:pPr>
            <w:r w:rsidRPr="004A17C0">
              <w:rPr>
                <w:rFonts w:cs="Arial"/>
                <w:b/>
                <w:bCs/>
                <w:color w:val="002060"/>
                <w:sz w:val="16"/>
                <w:szCs w:val="16"/>
              </w:rPr>
              <w:t>Spécialité</w:t>
            </w:r>
          </w:p>
        </w:tc>
        <w:tc>
          <w:tcPr>
            <w:tcW w:w="111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3656B" w14:textId="0D07CE58" w:rsidR="00CC1171" w:rsidRPr="004A17C0" w:rsidRDefault="00CC1171" w:rsidP="00372DB9">
            <w:pPr>
              <w:rPr>
                <w:rFonts w:cs="Arial"/>
                <w:b/>
                <w:bCs/>
                <w:color w:val="002060"/>
                <w:sz w:val="16"/>
                <w:szCs w:val="16"/>
              </w:rPr>
            </w:pPr>
            <w:r w:rsidRPr="004A17C0">
              <w:rPr>
                <w:rFonts w:cs="Arial"/>
                <w:b/>
                <w:bCs/>
                <w:color w:val="002060"/>
                <w:sz w:val="16"/>
                <w:szCs w:val="16"/>
              </w:rPr>
              <w:t>Date</w:t>
            </w:r>
            <w:r w:rsidR="006126EF">
              <w:rPr>
                <w:rFonts w:cs="Arial"/>
                <w:b/>
                <w:bCs/>
                <w:color w:val="002060"/>
                <w:sz w:val="16"/>
                <w:szCs w:val="16"/>
              </w:rPr>
              <w:t xml:space="preserve"> </w:t>
            </w:r>
            <w:r w:rsidRPr="004A17C0">
              <w:rPr>
                <w:rFonts w:cs="Arial"/>
                <w:b/>
                <w:bCs/>
                <w:color w:val="002060"/>
                <w:sz w:val="16"/>
                <w:szCs w:val="16"/>
              </w:rPr>
              <w:t>désignation et modalités</w:t>
            </w:r>
          </w:p>
        </w:tc>
        <w:tc>
          <w:tcPr>
            <w:tcW w:w="198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662DC" w14:textId="41B9BB15" w:rsidR="00CC1171" w:rsidRPr="004A17C0" w:rsidRDefault="00CC1171" w:rsidP="00372DB9">
            <w:pPr>
              <w:rPr>
                <w:rFonts w:cs="Arial"/>
                <w:b/>
                <w:bCs/>
                <w:color w:val="002060"/>
                <w:sz w:val="16"/>
                <w:szCs w:val="16"/>
              </w:rPr>
            </w:pPr>
            <w:r w:rsidRPr="004A17C0">
              <w:rPr>
                <w:rFonts w:cs="Arial"/>
                <w:b/>
                <w:bCs/>
                <w:color w:val="002060"/>
                <w:sz w:val="16"/>
                <w:szCs w:val="16"/>
              </w:rPr>
              <w:t>Temps dédié coord</w:t>
            </w:r>
            <w:r w:rsidR="00564E3C" w:rsidRPr="004A17C0">
              <w:rPr>
                <w:rFonts w:cs="Arial"/>
                <w:b/>
                <w:bCs/>
                <w:color w:val="002060"/>
                <w:sz w:val="16"/>
                <w:szCs w:val="16"/>
              </w:rPr>
              <w:t>on</w:t>
            </w:r>
            <w:r w:rsidRPr="004A17C0">
              <w:rPr>
                <w:rFonts w:cs="Arial"/>
                <w:b/>
                <w:bCs/>
                <w:color w:val="002060"/>
                <w:sz w:val="16"/>
                <w:szCs w:val="16"/>
              </w:rPr>
              <w:t>nateur</w:t>
            </w:r>
            <w:r w:rsidR="00C037E9">
              <w:rPr>
                <w:rFonts w:cs="Arial"/>
                <w:b/>
                <w:bCs/>
                <w:color w:val="002060"/>
                <w:sz w:val="16"/>
                <w:szCs w:val="16"/>
              </w:rPr>
              <w:t xml:space="preserve"> titulaire</w:t>
            </w:r>
            <w:r w:rsidR="006126EF">
              <w:rPr>
                <w:rFonts w:cs="Arial"/>
                <w:b/>
                <w:bCs/>
                <w:color w:val="002060"/>
                <w:sz w:val="16"/>
                <w:szCs w:val="16"/>
              </w:rPr>
              <w:t xml:space="preserve"> CDPI</w:t>
            </w:r>
          </w:p>
        </w:tc>
      </w:tr>
      <w:tr w:rsidR="009A5B45" w:rsidRPr="00A35F14" w14:paraId="4982D02F" w14:textId="77777777" w:rsidTr="006126EF">
        <w:trPr>
          <w:trHeight w:val="227"/>
          <w:jc w:val="center"/>
        </w:trPr>
        <w:tc>
          <w:tcPr>
            <w:tcW w:w="929" w:type="pct"/>
            <w:tcBorders>
              <w:top w:val="single" w:sz="4" w:space="0" w:color="auto"/>
              <w:left w:val="single" w:sz="4" w:space="0" w:color="auto"/>
              <w:bottom w:val="single" w:sz="4" w:space="0" w:color="auto"/>
              <w:right w:val="single" w:sz="4" w:space="0" w:color="auto"/>
            </w:tcBorders>
          </w:tcPr>
          <w:p w14:paraId="74D0340F" w14:textId="77777777" w:rsidR="00CC1171" w:rsidRPr="00A35F14" w:rsidRDefault="00CC1171" w:rsidP="00372DB9">
            <w:pPr>
              <w:rPr>
                <w:rFonts w:cs="Arial"/>
                <w:b/>
                <w:bCs/>
                <w:strike/>
                <w:color w:val="273467"/>
                <w:sz w:val="16"/>
                <w:szCs w:val="16"/>
              </w:rPr>
            </w:pPr>
          </w:p>
        </w:tc>
        <w:tc>
          <w:tcPr>
            <w:tcW w:w="976" w:type="pct"/>
            <w:gridSpan w:val="2"/>
            <w:tcBorders>
              <w:top w:val="single" w:sz="4" w:space="0" w:color="auto"/>
              <w:left w:val="single" w:sz="4" w:space="0" w:color="auto"/>
              <w:bottom w:val="single" w:sz="4" w:space="0" w:color="auto"/>
              <w:right w:val="single" w:sz="4" w:space="0" w:color="auto"/>
            </w:tcBorders>
          </w:tcPr>
          <w:p w14:paraId="726A09F3" w14:textId="77777777" w:rsidR="00CC1171" w:rsidRPr="00A35F14" w:rsidRDefault="00CC1171" w:rsidP="00372DB9">
            <w:pPr>
              <w:rPr>
                <w:rFonts w:cs="Arial"/>
                <w:b/>
                <w:bCs/>
                <w:strike/>
                <w:color w:val="273467"/>
                <w:sz w:val="16"/>
                <w:szCs w:val="16"/>
              </w:rPr>
            </w:pPr>
          </w:p>
        </w:tc>
        <w:tc>
          <w:tcPr>
            <w:tcW w:w="1115" w:type="pct"/>
            <w:tcBorders>
              <w:top w:val="single" w:sz="4" w:space="0" w:color="auto"/>
              <w:left w:val="single" w:sz="4" w:space="0" w:color="auto"/>
              <w:bottom w:val="single" w:sz="4" w:space="0" w:color="auto"/>
              <w:right w:val="single" w:sz="4" w:space="0" w:color="auto"/>
            </w:tcBorders>
          </w:tcPr>
          <w:p w14:paraId="690C9BB2" w14:textId="77777777" w:rsidR="00CC1171" w:rsidRPr="00A35F14" w:rsidRDefault="00CC1171" w:rsidP="00372DB9">
            <w:pPr>
              <w:rPr>
                <w:rFonts w:cs="Arial"/>
                <w:b/>
                <w:bCs/>
                <w:strike/>
                <w:color w:val="273467"/>
                <w:sz w:val="16"/>
                <w:szCs w:val="16"/>
              </w:rPr>
            </w:pPr>
          </w:p>
        </w:tc>
        <w:tc>
          <w:tcPr>
            <w:tcW w:w="1980" w:type="pct"/>
            <w:gridSpan w:val="2"/>
            <w:tcBorders>
              <w:top w:val="single" w:sz="4" w:space="0" w:color="auto"/>
              <w:left w:val="single" w:sz="4" w:space="0" w:color="auto"/>
              <w:bottom w:val="single" w:sz="4" w:space="0" w:color="auto"/>
              <w:right w:val="single" w:sz="4" w:space="0" w:color="auto"/>
            </w:tcBorders>
          </w:tcPr>
          <w:p w14:paraId="23BDF593" w14:textId="77777777" w:rsidR="00CC1171" w:rsidRPr="00A35F14" w:rsidRDefault="00CC1171" w:rsidP="00372DB9">
            <w:pPr>
              <w:rPr>
                <w:rFonts w:cs="Arial"/>
                <w:b/>
                <w:bCs/>
                <w:strike/>
                <w:color w:val="273467"/>
                <w:sz w:val="16"/>
                <w:szCs w:val="16"/>
              </w:rPr>
            </w:pPr>
          </w:p>
        </w:tc>
      </w:tr>
      <w:tr w:rsidR="00C037E9" w:rsidRPr="00A35F14" w14:paraId="571C060B" w14:textId="77777777" w:rsidTr="006126EF">
        <w:trPr>
          <w:trHeight w:val="227"/>
          <w:jc w:val="center"/>
        </w:trPr>
        <w:tc>
          <w:tcPr>
            <w:tcW w:w="92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3B642E" w14:textId="6D0B4ADE" w:rsidR="00C037E9" w:rsidRDefault="00C037E9" w:rsidP="00C037E9">
            <w:pPr>
              <w:rPr>
                <w:rFonts w:cs="Arial"/>
                <w:b/>
                <w:bCs/>
                <w:color w:val="002060"/>
                <w:sz w:val="16"/>
                <w:szCs w:val="16"/>
              </w:rPr>
            </w:pPr>
            <w:r w:rsidRPr="004A17C0">
              <w:rPr>
                <w:rFonts w:cs="Arial"/>
                <w:b/>
                <w:bCs/>
                <w:color w:val="002060"/>
                <w:sz w:val="16"/>
                <w:szCs w:val="16"/>
              </w:rPr>
              <w:t>Nom Prénom</w:t>
            </w:r>
            <w:r>
              <w:rPr>
                <w:rFonts w:cs="Arial"/>
                <w:b/>
                <w:bCs/>
                <w:color w:val="002060"/>
                <w:sz w:val="16"/>
                <w:szCs w:val="16"/>
              </w:rPr>
              <w:t xml:space="preserve"> </w:t>
            </w:r>
            <w:r w:rsidR="0072223C">
              <w:rPr>
                <w:rFonts w:cs="Arial"/>
                <w:b/>
                <w:bCs/>
                <w:color w:val="002060"/>
                <w:sz w:val="16"/>
                <w:szCs w:val="16"/>
              </w:rPr>
              <w:t>suppléant</w:t>
            </w:r>
          </w:p>
          <w:p w14:paraId="27D5A694" w14:textId="4D22CFB1" w:rsidR="00C037E9" w:rsidRPr="00A35F14" w:rsidRDefault="00C037E9" w:rsidP="00C037E9">
            <w:pPr>
              <w:rPr>
                <w:rFonts w:cs="Arial"/>
                <w:b/>
                <w:bCs/>
                <w:strike/>
                <w:color w:val="273467"/>
                <w:sz w:val="16"/>
                <w:szCs w:val="16"/>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644053" w14:textId="39D9BE85" w:rsidR="00C037E9" w:rsidRPr="00A35F14" w:rsidRDefault="00C037E9" w:rsidP="00C037E9">
            <w:pPr>
              <w:rPr>
                <w:rFonts w:cs="Arial"/>
                <w:b/>
                <w:bCs/>
                <w:strike/>
                <w:color w:val="273467"/>
                <w:sz w:val="16"/>
                <w:szCs w:val="16"/>
              </w:rPr>
            </w:pPr>
            <w:r w:rsidRPr="004A17C0">
              <w:rPr>
                <w:rFonts w:cs="Arial"/>
                <w:b/>
                <w:bCs/>
                <w:color w:val="002060"/>
                <w:sz w:val="16"/>
                <w:szCs w:val="16"/>
              </w:rPr>
              <w:t>Spécialité</w:t>
            </w:r>
          </w:p>
        </w:tc>
        <w:tc>
          <w:tcPr>
            <w:tcW w:w="111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0491B7" w14:textId="3047997C" w:rsidR="00C037E9" w:rsidRPr="00A35F14" w:rsidRDefault="00C037E9" w:rsidP="00C037E9">
            <w:pPr>
              <w:rPr>
                <w:rFonts w:cs="Arial"/>
                <w:b/>
                <w:bCs/>
                <w:strike/>
                <w:color w:val="273467"/>
                <w:sz w:val="16"/>
                <w:szCs w:val="16"/>
              </w:rPr>
            </w:pPr>
            <w:r w:rsidRPr="004A17C0">
              <w:rPr>
                <w:rFonts w:cs="Arial"/>
                <w:b/>
                <w:bCs/>
                <w:color w:val="002060"/>
                <w:sz w:val="16"/>
                <w:szCs w:val="16"/>
              </w:rPr>
              <w:t>Date désignation et modalités</w:t>
            </w:r>
          </w:p>
        </w:tc>
        <w:tc>
          <w:tcPr>
            <w:tcW w:w="198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6B99F" w14:textId="6DCA228F" w:rsidR="00C037E9" w:rsidRPr="00A35F14" w:rsidRDefault="00C037E9" w:rsidP="00C037E9">
            <w:pPr>
              <w:rPr>
                <w:rFonts w:cs="Arial"/>
                <w:b/>
                <w:bCs/>
                <w:strike/>
                <w:color w:val="273467"/>
                <w:sz w:val="16"/>
                <w:szCs w:val="16"/>
              </w:rPr>
            </w:pPr>
            <w:r w:rsidRPr="004A17C0">
              <w:rPr>
                <w:rFonts w:cs="Arial"/>
                <w:b/>
                <w:bCs/>
                <w:color w:val="002060"/>
                <w:sz w:val="16"/>
                <w:szCs w:val="16"/>
              </w:rPr>
              <w:t>Temps dédié coordonnateur</w:t>
            </w:r>
            <w:r w:rsidR="006126EF">
              <w:rPr>
                <w:rFonts w:cs="Arial"/>
                <w:b/>
                <w:bCs/>
                <w:color w:val="002060"/>
                <w:sz w:val="16"/>
                <w:szCs w:val="16"/>
              </w:rPr>
              <w:t xml:space="preserve"> </w:t>
            </w:r>
            <w:r>
              <w:rPr>
                <w:rFonts w:cs="Arial"/>
                <w:b/>
                <w:bCs/>
                <w:color w:val="002060"/>
                <w:sz w:val="16"/>
                <w:szCs w:val="16"/>
              </w:rPr>
              <w:t>suppl</w:t>
            </w:r>
            <w:r w:rsidR="006126EF">
              <w:rPr>
                <w:rFonts w:cs="Arial"/>
                <w:b/>
                <w:bCs/>
                <w:color w:val="002060"/>
                <w:sz w:val="16"/>
                <w:szCs w:val="16"/>
              </w:rPr>
              <w:t>. CPDI</w:t>
            </w:r>
          </w:p>
        </w:tc>
      </w:tr>
      <w:tr w:rsidR="006126EF" w:rsidRPr="00A35F14" w14:paraId="2774CE20" w14:textId="77777777" w:rsidTr="006126EF">
        <w:trPr>
          <w:trHeight w:val="227"/>
          <w:jc w:val="center"/>
        </w:trPr>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tcPr>
          <w:p w14:paraId="16C6BFB2" w14:textId="77777777" w:rsidR="006126EF" w:rsidRPr="004A17C0" w:rsidRDefault="006126EF" w:rsidP="00C037E9">
            <w:pPr>
              <w:rPr>
                <w:rFonts w:cs="Arial"/>
                <w:b/>
                <w:bCs/>
                <w:color w:val="002060"/>
                <w:sz w:val="16"/>
                <w:szCs w:val="16"/>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B4BE45" w14:textId="77777777" w:rsidR="006126EF" w:rsidRPr="004A17C0" w:rsidRDefault="006126EF" w:rsidP="00C037E9">
            <w:pPr>
              <w:rPr>
                <w:rFonts w:cs="Arial"/>
                <w:b/>
                <w:bCs/>
                <w:color w:val="002060"/>
                <w:sz w:val="16"/>
                <w:szCs w:val="16"/>
              </w:rPr>
            </w:pPr>
          </w:p>
        </w:tc>
        <w:tc>
          <w:tcPr>
            <w:tcW w:w="1115" w:type="pct"/>
            <w:tcBorders>
              <w:top w:val="single" w:sz="4" w:space="0" w:color="auto"/>
              <w:left w:val="single" w:sz="4" w:space="0" w:color="auto"/>
              <w:bottom w:val="single" w:sz="4" w:space="0" w:color="auto"/>
              <w:right w:val="single" w:sz="4" w:space="0" w:color="auto"/>
            </w:tcBorders>
            <w:shd w:val="clear" w:color="auto" w:fill="FFFFFF" w:themeFill="background1"/>
          </w:tcPr>
          <w:p w14:paraId="6DF43627" w14:textId="77777777" w:rsidR="006126EF" w:rsidRPr="004A17C0" w:rsidRDefault="006126EF" w:rsidP="00C037E9">
            <w:pPr>
              <w:rPr>
                <w:rFonts w:cs="Arial"/>
                <w:b/>
                <w:bCs/>
                <w:color w:val="002060"/>
                <w:sz w:val="16"/>
                <w:szCs w:val="16"/>
              </w:rPr>
            </w:pPr>
          </w:p>
        </w:tc>
        <w:tc>
          <w:tcPr>
            <w:tcW w:w="198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E753F" w14:textId="77777777" w:rsidR="006126EF" w:rsidRPr="004A17C0" w:rsidRDefault="006126EF" w:rsidP="00C037E9">
            <w:pPr>
              <w:rPr>
                <w:rFonts w:cs="Arial"/>
                <w:b/>
                <w:bCs/>
                <w:color w:val="002060"/>
                <w:sz w:val="16"/>
                <w:szCs w:val="16"/>
              </w:rPr>
            </w:pPr>
          </w:p>
        </w:tc>
      </w:tr>
      <w:tr w:rsidR="00C037E9" w:rsidRPr="00A35F14" w14:paraId="7FEE88D6" w14:textId="77777777" w:rsidTr="006126EF">
        <w:trPr>
          <w:trHeight w:val="227"/>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826B31" w14:textId="77777777" w:rsidR="006126EF" w:rsidRDefault="006126EF" w:rsidP="00C037E9">
            <w:pPr>
              <w:rPr>
                <w:rFonts w:cs="Arial"/>
                <w:b/>
                <w:bCs/>
                <w:color w:val="002060"/>
                <w:sz w:val="16"/>
                <w:szCs w:val="16"/>
              </w:rPr>
            </w:pPr>
          </w:p>
          <w:p w14:paraId="1239B162" w14:textId="62334246" w:rsidR="00C037E9" w:rsidRDefault="00C037E9" w:rsidP="00C037E9">
            <w:pPr>
              <w:rPr>
                <w:rFonts w:cs="Arial"/>
                <w:b/>
                <w:bCs/>
                <w:color w:val="002060"/>
                <w:sz w:val="16"/>
                <w:szCs w:val="16"/>
              </w:rPr>
            </w:pPr>
            <w:r w:rsidRPr="0072223C">
              <w:rPr>
                <w:rFonts w:cs="Arial"/>
                <w:b/>
                <w:bCs/>
                <w:color w:val="002060"/>
                <w:sz w:val="16"/>
                <w:szCs w:val="16"/>
              </w:rPr>
              <w:t>Personne responsable</w:t>
            </w:r>
          </w:p>
          <w:p w14:paraId="6F996B43" w14:textId="77777777" w:rsidR="0072223C" w:rsidRPr="006126EF" w:rsidRDefault="0072223C" w:rsidP="00C037E9">
            <w:pPr>
              <w:rPr>
                <w:rFonts w:cs="Arial"/>
                <w:i/>
                <w:iCs/>
                <w:color w:val="002060"/>
                <w:sz w:val="16"/>
                <w:szCs w:val="16"/>
              </w:rPr>
            </w:pPr>
            <w:r w:rsidRPr="006126EF">
              <w:rPr>
                <w:rFonts w:cs="Arial"/>
                <w:i/>
                <w:iCs/>
                <w:color w:val="002060"/>
                <w:sz w:val="16"/>
                <w:szCs w:val="16"/>
              </w:rPr>
              <w:t>Désignés conformément aux recommandations de bonnes pratiques en AMP.</w:t>
            </w:r>
          </w:p>
          <w:p w14:paraId="1E56B871" w14:textId="6ACA57DB" w:rsidR="006126EF" w:rsidRPr="004A17C0" w:rsidRDefault="006126EF" w:rsidP="00C037E9">
            <w:pPr>
              <w:rPr>
                <w:rFonts w:cs="Arial"/>
                <w:b/>
                <w:bCs/>
                <w:color w:val="002060"/>
                <w:sz w:val="16"/>
                <w:szCs w:val="16"/>
              </w:rPr>
            </w:pPr>
          </w:p>
        </w:tc>
      </w:tr>
      <w:tr w:rsidR="006126EF" w:rsidRPr="00A35F14" w14:paraId="5315BA9A" w14:textId="77777777" w:rsidTr="006126EF">
        <w:trPr>
          <w:trHeight w:val="227"/>
          <w:jc w:val="center"/>
        </w:trPr>
        <w:tc>
          <w:tcPr>
            <w:tcW w:w="1508"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18EFC" w14:textId="6E539FFD" w:rsidR="006126EF" w:rsidRPr="0072223C" w:rsidRDefault="006126EF" w:rsidP="00372DB9">
            <w:pPr>
              <w:rPr>
                <w:rFonts w:cs="Arial"/>
                <w:color w:val="002060"/>
                <w:sz w:val="16"/>
                <w:szCs w:val="16"/>
              </w:rPr>
            </w:pPr>
            <w:r w:rsidRPr="004A17C0">
              <w:rPr>
                <w:rFonts w:cs="Arial"/>
                <w:b/>
                <w:bCs/>
                <w:color w:val="002060"/>
                <w:sz w:val="16"/>
                <w:szCs w:val="16"/>
              </w:rPr>
              <w:t>Nom Prénom</w:t>
            </w:r>
            <w:r w:rsidRPr="006126EF">
              <w:rPr>
                <w:rFonts w:cs="Arial"/>
                <w:b/>
                <w:bCs/>
                <w:color w:val="002060"/>
                <w:sz w:val="16"/>
                <w:szCs w:val="16"/>
              </w:rPr>
              <w:t xml:space="preserve"> titulaire</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A97011C" w14:textId="22A8B675" w:rsidR="006126EF" w:rsidRPr="0072223C" w:rsidRDefault="006126EF" w:rsidP="00372DB9">
            <w:pPr>
              <w:rPr>
                <w:rFonts w:cs="Arial"/>
                <w:color w:val="002060"/>
                <w:sz w:val="16"/>
                <w:szCs w:val="16"/>
              </w:rPr>
            </w:pPr>
            <w:r w:rsidRPr="004A17C0">
              <w:rPr>
                <w:rFonts w:cs="Arial"/>
                <w:b/>
                <w:bCs/>
                <w:color w:val="002060"/>
                <w:sz w:val="16"/>
                <w:szCs w:val="16"/>
              </w:rPr>
              <w:t>Spécialité</w:t>
            </w:r>
          </w:p>
        </w:tc>
        <w:tc>
          <w:tcPr>
            <w:tcW w:w="9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79391F" w14:textId="77777777" w:rsidR="006126EF" w:rsidRPr="0072223C" w:rsidRDefault="006126EF" w:rsidP="00372DB9">
            <w:pPr>
              <w:rPr>
                <w:rFonts w:cs="Arial"/>
                <w:color w:val="002060"/>
                <w:sz w:val="16"/>
                <w:szCs w:val="16"/>
              </w:rPr>
            </w:pPr>
            <w:r w:rsidRPr="004A17C0">
              <w:rPr>
                <w:rFonts w:cs="Arial"/>
                <w:b/>
                <w:bCs/>
                <w:color w:val="002060"/>
                <w:sz w:val="16"/>
                <w:szCs w:val="16"/>
              </w:rPr>
              <w:t xml:space="preserve">Date de désignation </w:t>
            </w:r>
          </w:p>
        </w:tc>
        <w:tc>
          <w:tcPr>
            <w:tcW w:w="9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66036" w14:textId="0951098F" w:rsidR="006126EF" w:rsidRPr="006126EF" w:rsidRDefault="006126EF" w:rsidP="00372DB9">
            <w:pPr>
              <w:rPr>
                <w:rFonts w:cs="Arial"/>
                <w:color w:val="002060"/>
                <w:sz w:val="16"/>
                <w:szCs w:val="16"/>
              </w:rPr>
            </w:pPr>
            <w:r w:rsidRPr="006126EF">
              <w:rPr>
                <w:rFonts w:cs="Arial"/>
                <w:b/>
                <w:bCs/>
                <w:color w:val="002060"/>
                <w:sz w:val="16"/>
                <w:szCs w:val="16"/>
              </w:rPr>
              <w:t>Temps dédié DPI</w:t>
            </w:r>
          </w:p>
        </w:tc>
      </w:tr>
      <w:tr w:rsidR="006126EF" w:rsidRPr="00A35F14" w14:paraId="3E9F9B6B" w14:textId="77777777" w:rsidTr="006126EF">
        <w:trPr>
          <w:trHeight w:val="227"/>
          <w:jc w:val="center"/>
        </w:trPr>
        <w:tc>
          <w:tcPr>
            <w:tcW w:w="150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14AE40" w14:textId="77777777" w:rsidR="006126EF" w:rsidRPr="004A17C0" w:rsidRDefault="006126EF" w:rsidP="0072223C">
            <w:pPr>
              <w:rPr>
                <w:rFonts w:cs="Arial"/>
                <w:b/>
                <w:bCs/>
                <w:color w:val="002060"/>
                <w:sz w:val="16"/>
                <w:szCs w:val="16"/>
              </w:rPr>
            </w:pPr>
          </w:p>
        </w:tc>
        <w:tc>
          <w:tcPr>
            <w:tcW w:w="151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6D8B25" w14:textId="77777777" w:rsidR="006126EF" w:rsidRPr="004A17C0" w:rsidRDefault="006126EF" w:rsidP="00372DB9">
            <w:pPr>
              <w:rPr>
                <w:rFonts w:cs="Arial"/>
                <w:b/>
                <w:bCs/>
                <w:color w:val="002060"/>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Pr>
          <w:p w14:paraId="467B1A57" w14:textId="77777777" w:rsidR="006126EF" w:rsidRPr="004A17C0" w:rsidRDefault="006126EF" w:rsidP="00372DB9">
            <w:pPr>
              <w:rPr>
                <w:rFonts w:cs="Arial"/>
                <w:b/>
                <w:bCs/>
                <w:color w:val="002060"/>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Pr>
          <w:p w14:paraId="66D96FB7" w14:textId="4052E07E" w:rsidR="006126EF" w:rsidRPr="006126EF" w:rsidRDefault="006126EF" w:rsidP="00372DB9">
            <w:pPr>
              <w:rPr>
                <w:rFonts w:cs="Arial"/>
                <w:b/>
                <w:bCs/>
                <w:color w:val="002060"/>
                <w:sz w:val="16"/>
                <w:szCs w:val="16"/>
              </w:rPr>
            </w:pPr>
          </w:p>
        </w:tc>
      </w:tr>
      <w:tr w:rsidR="006126EF" w:rsidRPr="00A35F14" w14:paraId="356E88CA" w14:textId="77777777" w:rsidTr="006126EF">
        <w:trPr>
          <w:trHeight w:val="227"/>
          <w:jc w:val="center"/>
        </w:trPr>
        <w:tc>
          <w:tcPr>
            <w:tcW w:w="1508"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6EE84" w14:textId="77777777" w:rsidR="006126EF" w:rsidRDefault="006126EF" w:rsidP="0072223C">
            <w:pPr>
              <w:rPr>
                <w:rFonts w:cs="Arial"/>
                <w:b/>
                <w:bCs/>
                <w:color w:val="002060"/>
                <w:sz w:val="16"/>
                <w:szCs w:val="16"/>
              </w:rPr>
            </w:pPr>
            <w:r w:rsidRPr="004A17C0">
              <w:rPr>
                <w:rFonts w:cs="Arial"/>
                <w:b/>
                <w:bCs/>
                <w:color w:val="002060"/>
                <w:sz w:val="16"/>
                <w:szCs w:val="16"/>
              </w:rPr>
              <w:t>Nom Prénom</w:t>
            </w:r>
            <w:r>
              <w:rPr>
                <w:rFonts w:cs="Arial"/>
                <w:b/>
                <w:bCs/>
                <w:color w:val="002060"/>
                <w:sz w:val="16"/>
                <w:szCs w:val="16"/>
              </w:rPr>
              <w:t xml:space="preserve"> suppléant</w:t>
            </w:r>
          </w:p>
          <w:p w14:paraId="7EA06F4C" w14:textId="77777777" w:rsidR="006126EF" w:rsidRPr="004A17C0" w:rsidRDefault="006126EF" w:rsidP="0072223C">
            <w:pPr>
              <w:rPr>
                <w:rFonts w:cs="Arial"/>
                <w:b/>
                <w:bCs/>
                <w:color w:val="002060"/>
                <w:sz w:val="16"/>
                <w:szCs w:val="16"/>
              </w:rPr>
            </w:pPr>
          </w:p>
        </w:tc>
        <w:tc>
          <w:tcPr>
            <w:tcW w:w="1512"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AA593" w14:textId="4D692401" w:rsidR="006126EF" w:rsidRPr="004A17C0" w:rsidRDefault="006126EF" w:rsidP="0072223C">
            <w:pPr>
              <w:rPr>
                <w:rFonts w:cs="Arial"/>
                <w:b/>
                <w:bCs/>
                <w:color w:val="002060"/>
                <w:sz w:val="16"/>
                <w:szCs w:val="16"/>
              </w:rPr>
            </w:pPr>
            <w:r w:rsidRPr="004A17C0">
              <w:rPr>
                <w:rFonts w:cs="Arial"/>
                <w:b/>
                <w:bCs/>
                <w:color w:val="002060"/>
                <w:sz w:val="16"/>
                <w:szCs w:val="16"/>
              </w:rPr>
              <w:t>Spécialité</w:t>
            </w:r>
          </w:p>
        </w:tc>
        <w:tc>
          <w:tcPr>
            <w:tcW w:w="9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887F3" w14:textId="77777777" w:rsidR="006126EF" w:rsidRPr="004A17C0" w:rsidRDefault="006126EF" w:rsidP="0072223C">
            <w:pPr>
              <w:rPr>
                <w:rFonts w:cs="Arial"/>
                <w:b/>
                <w:bCs/>
                <w:color w:val="002060"/>
                <w:sz w:val="16"/>
                <w:szCs w:val="16"/>
              </w:rPr>
            </w:pPr>
            <w:r w:rsidRPr="004A17C0">
              <w:rPr>
                <w:rFonts w:cs="Arial"/>
                <w:b/>
                <w:bCs/>
                <w:color w:val="002060"/>
                <w:sz w:val="16"/>
                <w:szCs w:val="16"/>
              </w:rPr>
              <w:t xml:space="preserve">Date de désignation </w:t>
            </w:r>
          </w:p>
        </w:tc>
        <w:tc>
          <w:tcPr>
            <w:tcW w:w="9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756347" w14:textId="04E857F8" w:rsidR="006126EF" w:rsidRPr="006126EF" w:rsidRDefault="006126EF" w:rsidP="0072223C">
            <w:pPr>
              <w:rPr>
                <w:rFonts w:cs="Arial"/>
                <w:b/>
                <w:bCs/>
                <w:color w:val="002060"/>
                <w:sz w:val="16"/>
                <w:szCs w:val="16"/>
              </w:rPr>
            </w:pPr>
            <w:r w:rsidRPr="006126EF">
              <w:rPr>
                <w:rFonts w:cs="Arial"/>
                <w:b/>
                <w:bCs/>
                <w:color w:val="002060"/>
                <w:sz w:val="16"/>
                <w:szCs w:val="16"/>
              </w:rPr>
              <w:t>Temps dédié DPI</w:t>
            </w:r>
          </w:p>
        </w:tc>
      </w:tr>
      <w:tr w:rsidR="006126EF" w:rsidRPr="00A35F14" w14:paraId="4A620898" w14:textId="77777777" w:rsidTr="006126EF">
        <w:trPr>
          <w:cnfStyle w:val="010000000000" w:firstRow="0" w:lastRow="1" w:firstColumn="0" w:lastColumn="0" w:oddVBand="0" w:evenVBand="0" w:oddHBand="0" w:evenHBand="0" w:firstRowFirstColumn="0" w:firstRowLastColumn="0" w:lastRowFirstColumn="0" w:lastRowLastColumn="0"/>
          <w:trHeight w:val="227"/>
          <w:jc w:val="center"/>
        </w:trPr>
        <w:tc>
          <w:tcPr>
            <w:tcW w:w="150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8279BB" w14:textId="77777777" w:rsidR="006126EF" w:rsidRPr="004A17C0" w:rsidRDefault="006126EF" w:rsidP="0072223C">
            <w:pPr>
              <w:rPr>
                <w:rFonts w:cs="Arial"/>
                <w:b w:val="0"/>
                <w:bCs w:val="0"/>
                <w:color w:val="002060"/>
                <w:sz w:val="16"/>
                <w:szCs w:val="16"/>
              </w:rPr>
            </w:pPr>
          </w:p>
        </w:tc>
        <w:tc>
          <w:tcPr>
            <w:tcW w:w="151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84FEA8" w14:textId="77777777" w:rsidR="006126EF" w:rsidRPr="004A17C0" w:rsidRDefault="006126EF" w:rsidP="00372DB9">
            <w:pPr>
              <w:rPr>
                <w:rFonts w:cs="Arial"/>
                <w:b w:val="0"/>
                <w:bCs w:val="0"/>
                <w:color w:val="002060"/>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Pr>
          <w:p w14:paraId="62A817F7" w14:textId="77777777" w:rsidR="006126EF" w:rsidRPr="004A17C0" w:rsidRDefault="006126EF" w:rsidP="00372DB9">
            <w:pPr>
              <w:rPr>
                <w:rFonts w:cs="Arial"/>
                <w:color w:val="002060"/>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Pr>
          <w:p w14:paraId="3CB6C2F5" w14:textId="370C01A6" w:rsidR="006126EF" w:rsidRPr="004A17C0" w:rsidRDefault="006126EF" w:rsidP="00372DB9">
            <w:pPr>
              <w:rPr>
                <w:rFonts w:cs="Arial"/>
                <w:b w:val="0"/>
                <w:bCs w:val="0"/>
                <w:color w:val="002060"/>
                <w:sz w:val="16"/>
                <w:szCs w:val="16"/>
              </w:rPr>
            </w:pPr>
          </w:p>
        </w:tc>
      </w:tr>
    </w:tbl>
    <w:p w14:paraId="3CE160B2" w14:textId="77777777" w:rsidR="00415A5F" w:rsidRPr="00A35F14" w:rsidRDefault="00415A5F" w:rsidP="00CC1171">
      <w:pPr>
        <w:rPr>
          <w:strike/>
        </w:rPr>
      </w:pPr>
    </w:p>
    <w:p w14:paraId="1FB56DC1" w14:textId="3E698523" w:rsidR="00415A5F" w:rsidRDefault="00415A5F" w:rsidP="00415A5F">
      <w:pPr>
        <w:rPr>
          <w:rFonts w:cs="Arial"/>
          <w:b/>
          <w:bCs/>
          <w:strike/>
          <w:color w:val="273467"/>
          <w:sz w:val="17"/>
          <w:szCs w:val="17"/>
        </w:rPr>
      </w:pPr>
    </w:p>
    <w:p w14:paraId="120C0655" w14:textId="77777777" w:rsidR="006126EF" w:rsidRPr="00A35F14" w:rsidRDefault="006126EF" w:rsidP="00415A5F">
      <w:pPr>
        <w:rPr>
          <w:rFonts w:cs="Arial"/>
          <w:b/>
          <w:bCs/>
          <w:strike/>
          <w:color w:val="273467"/>
          <w:sz w:val="17"/>
          <w:szCs w:val="17"/>
        </w:rPr>
      </w:pPr>
    </w:p>
    <w:tbl>
      <w:tblPr>
        <w:tblStyle w:val="Trameclaire-Accent1"/>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3680"/>
        <w:gridCol w:w="3120"/>
        <w:gridCol w:w="2108"/>
      </w:tblGrid>
      <w:tr w:rsidR="00415A5F" w:rsidRPr="00A35F14" w14:paraId="68BAA387" w14:textId="77777777" w:rsidTr="00317E27">
        <w:trPr>
          <w:cnfStyle w:val="100000000000" w:firstRow="1" w:lastRow="0" w:firstColumn="0" w:lastColumn="0" w:oddVBand="0" w:evenVBand="0" w:oddHBand="0" w:evenHBand="0" w:firstRowFirstColumn="0" w:firstRowLastColumn="0" w:lastRowFirstColumn="0" w:lastRowLastColumn="0"/>
          <w:cantSplit/>
          <w:trHeight w:hRule="exact" w:val="483"/>
          <w:jc w:val="center"/>
        </w:trPr>
        <w:tc>
          <w:tcPr>
            <w:tcW w:w="5000" w:type="pct"/>
            <w:gridSpan w:val="3"/>
            <w:tcBorders>
              <w:top w:val="none" w:sz="0" w:space="0" w:color="auto"/>
              <w:left w:val="none" w:sz="0" w:space="0" w:color="auto"/>
              <w:bottom w:val="none" w:sz="0" w:space="0" w:color="auto"/>
              <w:right w:val="none" w:sz="0" w:space="0" w:color="auto"/>
            </w:tcBorders>
            <w:shd w:val="clear" w:color="auto" w:fill="9CC2E5" w:themeFill="accent5" w:themeFillTint="99"/>
            <w:noWrap/>
          </w:tcPr>
          <w:p w14:paraId="7D98C496" w14:textId="76DEF44F" w:rsidR="00415A5F" w:rsidRPr="00317E27" w:rsidRDefault="00317E27" w:rsidP="00372DB9">
            <w:pPr>
              <w:rPr>
                <w:rFonts w:cs="Arial"/>
                <w:strike/>
                <w:color w:val="002060"/>
                <w:sz w:val="16"/>
                <w:szCs w:val="16"/>
              </w:rPr>
            </w:pPr>
            <w:r w:rsidRPr="00317E27">
              <w:rPr>
                <w:rFonts w:cs="Arial"/>
                <w:color w:val="002060"/>
                <w:sz w:val="16"/>
                <w:szCs w:val="16"/>
              </w:rPr>
              <w:t>Autres professionnels du centre de DPI</w:t>
            </w:r>
          </w:p>
        </w:tc>
      </w:tr>
      <w:tr w:rsidR="00317E27" w:rsidRPr="00A35F14" w14:paraId="019682C7" w14:textId="77777777" w:rsidTr="00317E27">
        <w:trPr>
          <w:cantSplit/>
          <w:trHeight w:hRule="exact" w:val="448"/>
          <w:jc w:val="center"/>
        </w:trPr>
        <w:tc>
          <w:tcPr>
            <w:tcW w:w="5000" w:type="pct"/>
            <w:gridSpan w:val="3"/>
            <w:shd w:val="clear" w:color="auto" w:fill="BDD6EE" w:themeFill="accent5" w:themeFillTint="66"/>
            <w:noWrap/>
          </w:tcPr>
          <w:p w14:paraId="049C7739" w14:textId="0B1BA2AC" w:rsidR="00317E27" w:rsidRPr="00317E27" w:rsidRDefault="00317E27" w:rsidP="00372DB9">
            <w:pPr>
              <w:rPr>
                <w:rFonts w:cs="Arial"/>
                <w:b/>
                <w:bCs/>
                <w:color w:val="002060"/>
                <w:sz w:val="16"/>
                <w:szCs w:val="16"/>
              </w:rPr>
            </w:pPr>
            <w:r w:rsidRPr="00317E27">
              <w:rPr>
                <w:rFonts w:cs="Arial"/>
                <w:b/>
                <w:bCs/>
                <w:color w:val="002060"/>
                <w:sz w:val="16"/>
                <w:szCs w:val="16"/>
              </w:rPr>
              <w:t>Personnels affectés à l’activité du centre CDPI</w:t>
            </w:r>
            <w:r>
              <w:rPr>
                <w:rFonts w:cs="Arial"/>
                <w:b/>
                <w:bCs/>
                <w:color w:val="002060"/>
                <w:sz w:val="16"/>
                <w:szCs w:val="16"/>
              </w:rPr>
              <w:t xml:space="preserve"> </w:t>
            </w:r>
            <w:r w:rsidRPr="00317E27">
              <w:rPr>
                <w:rFonts w:cs="Arial"/>
                <w:i/>
                <w:iCs/>
                <w:color w:val="002060"/>
                <w:sz w:val="16"/>
                <w:szCs w:val="16"/>
              </w:rPr>
              <w:t>notamment secrétaire coordinatrice, sage-femmes, psychologue, conseiller en génétique</w:t>
            </w:r>
          </w:p>
        </w:tc>
      </w:tr>
      <w:tr w:rsidR="00317E27" w:rsidRPr="00A35F14" w14:paraId="43332579" w14:textId="77777777" w:rsidTr="00317E27">
        <w:trPr>
          <w:cantSplit/>
          <w:trHeight w:hRule="exact" w:val="285"/>
          <w:jc w:val="center"/>
        </w:trPr>
        <w:tc>
          <w:tcPr>
            <w:tcW w:w="2066" w:type="pct"/>
            <w:shd w:val="clear" w:color="auto" w:fill="DEEAF6" w:themeFill="accent5" w:themeFillTint="33"/>
            <w:noWrap/>
          </w:tcPr>
          <w:p w14:paraId="214FF6A0" w14:textId="77777777" w:rsidR="00317E27" w:rsidRDefault="00317E27" w:rsidP="00372DB9">
            <w:pPr>
              <w:rPr>
                <w:rFonts w:cs="Arial"/>
                <w:b/>
                <w:bCs/>
                <w:color w:val="002060"/>
                <w:sz w:val="16"/>
                <w:szCs w:val="16"/>
              </w:rPr>
            </w:pPr>
            <w:r>
              <w:rPr>
                <w:rFonts w:cs="Arial"/>
                <w:b/>
                <w:bCs/>
                <w:color w:val="002060"/>
                <w:sz w:val="16"/>
                <w:szCs w:val="16"/>
              </w:rPr>
              <w:t xml:space="preserve">Nom-Prénom </w:t>
            </w:r>
          </w:p>
          <w:p w14:paraId="05393EAB" w14:textId="60EC855A" w:rsidR="00317E27" w:rsidRPr="00317E27" w:rsidRDefault="00317E27" w:rsidP="00372DB9">
            <w:pPr>
              <w:rPr>
                <w:rFonts w:cs="Arial"/>
                <w:b/>
                <w:bCs/>
                <w:color w:val="002060"/>
                <w:sz w:val="16"/>
                <w:szCs w:val="16"/>
              </w:rPr>
            </w:pPr>
          </w:p>
        </w:tc>
        <w:tc>
          <w:tcPr>
            <w:tcW w:w="1751" w:type="pct"/>
            <w:shd w:val="clear" w:color="auto" w:fill="DEEAF6" w:themeFill="accent5" w:themeFillTint="33"/>
          </w:tcPr>
          <w:p w14:paraId="0025DAA6" w14:textId="1E67C388" w:rsidR="00317E27" w:rsidRPr="00317E27" w:rsidRDefault="00317E27" w:rsidP="00372DB9">
            <w:pPr>
              <w:ind w:hanging="5"/>
              <w:rPr>
                <w:rFonts w:cs="Arial"/>
                <w:b/>
                <w:bCs/>
                <w:color w:val="002060"/>
                <w:sz w:val="16"/>
                <w:szCs w:val="16"/>
              </w:rPr>
            </w:pPr>
            <w:r w:rsidRPr="00317E27">
              <w:rPr>
                <w:rFonts w:cs="Arial"/>
                <w:b/>
                <w:bCs/>
                <w:color w:val="002060"/>
                <w:sz w:val="16"/>
                <w:szCs w:val="16"/>
              </w:rPr>
              <w:t>Fonction</w:t>
            </w:r>
          </w:p>
        </w:tc>
        <w:tc>
          <w:tcPr>
            <w:tcW w:w="1183" w:type="pct"/>
            <w:shd w:val="clear" w:color="auto" w:fill="DEEAF6" w:themeFill="accent5" w:themeFillTint="33"/>
          </w:tcPr>
          <w:p w14:paraId="4741D271" w14:textId="2A1C4310" w:rsidR="00317E27" w:rsidRPr="00317E27" w:rsidRDefault="00317E27" w:rsidP="00372DB9">
            <w:pPr>
              <w:rPr>
                <w:rFonts w:cs="Arial"/>
                <w:b/>
                <w:bCs/>
                <w:color w:val="002060"/>
                <w:sz w:val="16"/>
                <w:szCs w:val="16"/>
              </w:rPr>
            </w:pPr>
            <w:r w:rsidRPr="00317E27">
              <w:rPr>
                <w:rFonts w:cs="Arial"/>
                <w:b/>
                <w:bCs/>
                <w:color w:val="002060"/>
                <w:sz w:val="16"/>
                <w:szCs w:val="16"/>
              </w:rPr>
              <w:t>Temps dédié CDPI</w:t>
            </w:r>
          </w:p>
        </w:tc>
      </w:tr>
      <w:tr w:rsidR="00317E27" w:rsidRPr="00A35F14" w14:paraId="6C2E39BA" w14:textId="77777777" w:rsidTr="00317E27">
        <w:trPr>
          <w:cantSplit/>
          <w:trHeight w:hRule="exact" w:val="227"/>
          <w:jc w:val="center"/>
        </w:trPr>
        <w:tc>
          <w:tcPr>
            <w:tcW w:w="2066" w:type="pct"/>
            <w:shd w:val="clear" w:color="auto" w:fill="DEEAF6" w:themeFill="accent5" w:themeFillTint="33"/>
            <w:noWrap/>
          </w:tcPr>
          <w:p w14:paraId="305B31F2" w14:textId="77777777" w:rsidR="00317E27" w:rsidRPr="00A35F14" w:rsidRDefault="00317E27" w:rsidP="00372DB9">
            <w:pPr>
              <w:rPr>
                <w:rStyle w:val="Accentuationlgre"/>
                <w:strike/>
                <w:color w:val="002060"/>
                <w:sz w:val="16"/>
                <w:szCs w:val="16"/>
              </w:rPr>
            </w:pPr>
          </w:p>
        </w:tc>
        <w:tc>
          <w:tcPr>
            <w:tcW w:w="1751" w:type="pct"/>
          </w:tcPr>
          <w:p w14:paraId="3597D759" w14:textId="77777777" w:rsidR="00317E27" w:rsidRPr="00A35F14" w:rsidRDefault="00317E27" w:rsidP="00372DB9">
            <w:pPr>
              <w:rPr>
                <w:rFonts w:cs="Arial"/>
                <w:strike/>
                <w:color w:val="002060"/>
                <w:sz w:val="16"/>
                <w:szCs w:val="16"/>
              </w:rPr>
            </w:pPr>
          </w:p>
        </w:tc>
        <w:tc>
          <w:tcPr>
            <w:tcW w:w="1183" w:type="pct"/>
          </w:tcPr>
          <w:p w14:paraId="1D2D4148" w14:textId="77777777" w:rsidR="00317E27" w:rsidRPr="00A35F14" w:rsidRDefault="00317E27" w:rsidP="00372DB9">
            <w:pPr>
              <w:rPr>
                <w:rFonts w:cs="Arial"/>
                <w:strike/>
                <w:color w:val="002060"/>
                <w:sz w:val="16"/>
                <w:szCs w:val="16"/>
              </w:rPr>
            </w:pPr>
          </w:p>
        </w:tc>
      </w:tr>
      <w:tr w:rsidR="00317E27" w:rsidRPr="00A35F14" w14:paraId="03A3EB51" w14:textId="77777777" w:rsidTr="00317E27">
        <w:trPr>
          <w:cantSplit/>
          <w:trHeight w:hRule="exact" w:val="227"/>
          <w:jc w:val="center"/>
        </w:trPr>
        <w:tc>
          <w:tcPr>
            <w:tcW w:w="2066" w:type="pct"/>
            <w:shd w:val="clear" w:color="auto" w:fill="DEEAF6" w:themeFill="accent5" w:themeFillTint="33"/>
            <w:noWrap/>
          </w:tcPr>
          <w:p w14:paraId="460020AB" w14:textId="77777777" w:rsidR="00317E27" w:rsidRPr="00A35F14" w:rsidRDefault="00317E27" w:rsidP="00372DB9">
            <w:pPr>
              <w:rPr>
                <w:rStyle w:val="Accentuationlgre"/>
                <w:strike/>
                <w:color w:val="002060"/>
                <w:sz w:val="16"/>
                <w:szCs w:val="16"/>
              </w:rPr>
            </w:pPr>
          </w:p>
        </w:tc>
        <w:tc>
          <w:tcPr>
            <w:tcW w:w="1751" w:type="pct"/>
          </w:tcPr>
          <w:p w14:paraId="0DF20ECD" w14:textId="77777777" w:rsidR="00317E27" w:rsidRPr="00A35F14" w:rsidRDefault="00317E27" w:rsidP="00372DB9">
            <w:pPr>
              <w:rPr>
                <w:rFonts w:cs="Arial"/>
                <w:strike/>
                <w:color w:val="002060"/>
                <w:sz w:val="16"/>
                <w:szCs w:val="16"/>
              </w:rPr>
            </w:pPr>
          </w:p>
        </w:tc>
        <w:tc>
          <w:tcPr>
            <w:tcW w:w="1183" w:type="pct"/>
          </w:tcPr>
          <w:p w14:paraId="1A2E7750" w14:textId="77777777" w:rsidR="00317E27" w:rsidRPr="00A35F14" w:rsidRDefault="00317E27" w:rsidP="00372DB9">
            <w:pPr>
              <w:rPr>
                <w:rFonts w:cs="Arial"/>
                <w:strike/>
                <w:color w:val="002060"/>
                <w:sz w:val="16"/>
                <w:szCs w:val="16"/>
              </w:rPr>
            </w:pPr>
          </w:p>
        </w:tc>
      </w:tr>
      <w:tr w:rsidR="00317E27" w:rsidRPr="00A35F14" w14:paraId="1F499A42" w14:textId="77777777" w:rsidTr="00317E27">
        <w:trPr>
          <w:cantSplit/>
          <w:trHeight w:hRule="exact" w:val="227"/>
          <w:jc w:val="center"/>
        </w:trPr>
        <w:tc>
          <w:tcPr>
            <w:tcW w:w="2066" w:type="pct"/>
            <w:shd w:val="clear" w:color="auto" w:fill="DEEAF6" w:themeFill="accent5" w:themeFillTint="33"/>
            <w:noWrap/>
          </w:tcPr>
          <w:p w14:paraId="42873F31" w14:textId="77777777" w:rsidR="00317E27" w:rsidRPr="00A35F14" w:rsidRDefault="00317E27" w:rsidP="00372DB9">
            <w:pPr>
              <w:rPr>
                <w:rStyle w:val="Accentuationlgre"/>
                <w:strike/>
                <w:color w:val="002060"/>
                <w:sz w:val="16"/>
                <w:szCs w:val="16"/>
              </w:rPr>
            </w:pPr>
          </w:p>
        </w:tc>
        <w:tc>
          <w:tcPr>
            <w:tcW w:w="1751" w:type="pct"/>
          </w:tcPr>
          <w:p w14:paraId="5990208D" w14:textId="77777777" w:rsidR="00317E27" w:rsidRPr="00A35F14" w:rsidRDefault="00317E27" w:rsidP="00372DB9">
            <w:pPr>
              <w:rPr>
                <w:rFonts w:cs="Arial"/>
                <w:strike/>
                <w:color w:val="002060"/>
                <w:sz w:val="16"/>
                <w:szCs w:val="16"/>
              </w:rPr>
            </w:pPr>
          </w:p>
        </w:tc>
        <w:tc>
          <w:tcPr>
            <w:tcW w:w="1183" w:type="pct"/>
          </w:tcPr>
          <w:p w14:paraId="093DB4B1" w14:textId="77777777" w:rsidR="00317E27" w:rsidRPr="00A35F14" w:rsidRDefault="00317E27" w:rsidP="00372DB9">
            <w:pPr>
              <w:rPr>
                <w:rFonts w:cs="Arial"/>
                <w:strike/>
                <w:color w:val="002060"/>
                <w:sz w:val="16"/>
                <w:szCs w:val="16"/>
              </w:rPr>
            </w:pPr>
          </w:p>
        </w:tc>
      </w:tr>
      <w:tr w:rsidR="00317E27" w:rsidRPr="00A35F14" w14:paraId="6D26A2D8" w14:textId="77777777" w:rsidTr="00317E27">
        <w:trPr>
          <w:cantSplit/>
          <w:trHeight w:hRule="exact" w:val="227"/>
          <w:jc w:val="center"/>
        </w:trPr>
        <w:tc>
          <w:tcPr>
            <w:tcW w:w="2066" w:type="pct"/>
            <w:shd w:val="clear" w:color="auto" w:fill="DEEAF6" w:themeFill="accent5" w:themeFillTint="33"/>
            <w:noWrap/>
          </w:tcPr>
          <w:p w14:paraId="5C129426" w14:textId="77777777" w:rsidR="00317E27" w:rsidRPr="00A35F14" w:rsidRDefault="00317E27" w:rsidP="00372DB9">
            <w:pPr>
              <w:rPr>
                <w:rStyle w:val="Accentuationlgre"/>
                <w:strike/>
                <w:color w:val="002060"/>
                <w:sz w:val="16"/>
                <w:szCs w:val="16"/>
              </w:rPr>
            </w:pPr>
          </w:p>
        </w:tc>
        <w:tc>
          <w:tcPr>
            <w:tcW w:w="1751" w:type="pct"/>
          </w:tcPr>
          <w:p w14:paraId="4FCA6AC4" w14:textId="77777777" w:rsidR="00317E27" w:rsidRPr="00A35F14" w:rsidRDefault="00317E27" w:rsidP="00372DB9">
            <w:pPr>
              <w:rPr>
                <w:rFonts w:cs="Arial"/>
                <w:strike/>
                <w:color w:val="002060"/>
                <w:sz w:val="16"/>
                <w:szCs w:val="16"/>
              </w:rPr>
            </w:pPr>
          </w:p>
        </w:tc>
        <w:tc>
          <w:tcPr>
            <w:tcW w:w="1183" w:type="pct"/>
          </w:tcPr>
          <w:p w14:paraId="236ECFCD" w14:textId="77777777" w:rsidR="00317E27" w:rsidRPr="00A35F14" w:rsidRDefault="00317E27" w:rsidP="00372DB9">
            <w:pPr>
              <w:rPr>
                <w:rFonts w:cs="Arial"/>
                <w:strike/>
                <w:color w:val="002060"/>
                <w:sz w:val="16"/>
                <w:szCs w:val="16"/>
              </w:rPr>
            </w:pPr>
          </w:p>
        </w:tc>
      </w:tr>
      <w:tr w:rsidR="00317E27" w:rsidRPr="00A35F14" w14:paraId="1BEB4AED" w14:textId="77777777" w:rsidTr="00317E27">
        <w:trPr>
          <w:cantSplit/>
          <w:trHeight w:hRule="exact" w:val="227"/>
          <w:jc w:val="center"/>
        </w:trPr>
        <w:tc>
          <w:tcPr>
            <w:tcW w:w="2066" w:type="pct"/>
            <w:shd w:val="clear" w:color="auto" w:fill="DEEAF6" w:themeFill="accent5" w:themeFillTint="33"/>
            <w:noWrap/>
          </w:tcPr>
          <w:p w14:paraId="7E421B39" w14:textId="77777777" w:rsidR="00317E27" w:rsidRPr="00A35F14" w:rsidRDefault="00317E27" w:rsidP="00372DB9">
            <w:pPr>
              <w:rPr>
                <w:rStyle w:val="Accentuationlgre"/>
                <w:strike/>
                <w:color w:val="002060"/>
                <w:sz w:val="16"/>
                <w:szCs w:val="16"/>
              </w:rPr>
            </w:pPr>
          </w:p>
        </w:tc>
        <w:tc>
          <w:tcPr>
            <w:tcW w:w="1751" w:type="pct"/>
          </w:tcPr>
          <w:p w14:paraId="491B4322" w14:textId="77777777" w:rsidR="00317E27" w:rsidRPr="00A35F14" w:rsidRDefault="00317E27" w:rsidP="00372DB9">
            <w:pPr>
              <w:rPr>
                <w:rFonts w:cs="Arial"/>
                <w:strike/>
                <w:color w:val="002060"/>
                <w:sz w:val="16"/>
                <w:szCs w:val="16"/>
              </w:rPr>
            </w:pPr>
          </w:p>
        </w:tc>
        <w:tc>
          <w:tcPr>
            <w:tcW w:w="1183" w:type="pct"/>
          </w:tcPr>
          <w:p w14:paraId="35EB38B5" w14:textId="77777777" w:rsidR="00317E27" w:rsidRPr="00A35F14" w:rsidRDefault="00317E27" w:rsidP="00372DB9">
            <w:pPr>
              <w:rPr>
                <w:rFonts w:cs="Arial"/>
                <w:strike/>
                <w:color w:val="002060"/>
                <w:sz w:val="16"/>
                <w:szCs w:val="16"/>
              </w:rPr>
            </w:pPr>
          </w:p>
        </w:tc>
      </w:tr>
      <w:tr w:rsidR="00317E27" w:rsidRPr="00A35F14" w14:paraId="0A5B3408" w14:textId="77777777" w:rsidTr="00317E27">
        <w:trPr>
          <w:cantSplit/>
          <w:trHeight w:hRule="exact" w:val="227"/>
          <w:jc w:val="center"/>
        </w:trPr>
        <w:tc>
          <w:tcPr>
            <w:tcW w:w="2066" w:type="pct"/>
            <w:shd w:val="clear" w:color="auto" w:fill="DEEAF6" w:themeFill="accent5" w:themeFillTint="33"/>
            <w:noWrap/>
          </w:tcPr>
          <w:p w14:paraId="2CA63167" w14:textId="77777777" w:rsidR="00317E27" w:rsidRPr="00A35F14" w:rsidRDefault="00317E27" w:rsidP="00372DB9">
            <w:pPr>
              <w:rPr>
                <w:rStyle w:val="Accentuationlgre"/>
                <w:strike/>
                <w:color w:val="002060"/>
                <w:sz w:val="16"/>
                <w:szCs w:val="16"/>
              </w:rPr>
            </w:pPr>
          </w:p>
        </w:tc>
        <w:tc>
          <w:tcPr>
            <w:tcW w:w="1751" w:type="pct"/>
          </w:tcPr>
          <w:p w14:paraId="7EC204F2" w14:textId="77777777" w:rsidR="00317E27" w:rsidRPr="00A35F14" w:rsidRDefault="00317E27" w:rsidP="00372DB9">
            <w:pPr>
              <w:rPr>
                <w:rFonts w:cs="Arial"/>
                <w:strike/>
                <w:color w:val="002060"/>
                <w:sz w:val="16"/>
                <w:szCs w:val="16"/>
              </w:rPr>
            </w:pPr>
          </w:p>
        </w:tc>
        <w:tc>
          <w:tcPr>
            <w:tcW w:w="1183" w:type="pct"/>
          </w:tcPr>
          <w:p w14:paraId="7444B185" w14:textId="77777777" w:rsidR="00317E27" w:rsidRPr="00A35F14" w:rsidRDefault="00317E27" w:rsidP="00372DB9">
            <w:pPr>
              <w:rPr>
                <w:rFonts w:cs="Arial"/>
                <w:strike/>
                <w:color w:val="002060"/>
                <w:sz w:val="16"/>
                <w:szCs w:val="16"/>
              </w:rPr>
            </w:pPr>
          </w:p>
        </w:tc>
      </w:tr>
      <w:tr w:rsidR="00317E27" w:rsidRPr="00A35F14" w14:paraId="61840559" w14:textId="77777777" w:rsidTr="00317E27">
        <w:trPr>
          <w:cantSplit/>
          <w:trHeight w:hRule="exact" w:val="596"/>
          <w:jc w:val="center"/>
        </w:trPr>
        <w:tc>
          <w:tcPr>
            <w:tcW w:w="5000" w:type="pct"/>
            <w:gridSpan w:val="3"/>
            <w:shd w:val="clear" w:color="auto" w:fill="BDD6EE" w:themeFill="accent5" w:themeFillTint="66"/>
            <w:noWrap/>
          </w:tcPr>
          <w:p w14:paraId="419A8F9B" w14:textId="01483275" w:rsidR="00317E27" w:rsidRPr="00317E27" w:rsidRDefault="00317E27" w:rsidP="00317E27">
            <w:pPr>
              <w:rPr>
                <w:rFonts w:cs="Arial"/>
                <w:b/>
                <w:bCs/>
                <w:color w:val="002060"/>
                <w:sz w:val="16"/>
                <w:szCs w:val="16"/>
              </w:rPr>
            </w:pPr>
            <w:r w:rsidRPr="00317E27">
              <w:rPr>
                <w:rFonts w:cs="Arial"/>
                <w:b/>
                <w:bCs/>
                <w:color w:val="002060"/>
                <w:sz w:val="16"/>
                <w:szCs w:val="16"/>
              </w:rPr>
              <w:t xml:space="preserve">Personnels affectés à l’activité du centre AMP </w:t>
            </w:r>
            <w:r w:rsidRPr="00317E27">
              <w:rPr>
                <w:rFonts w:cs="Arial"/>
                <w:i/>
                <w:iCs/>
                <w:color w:val="002060"/>
                <w:sz w:val="16"/>
                <w:szCs w:val="16"/>
              </w:rPr>
              <w:t>notamment personne responsable, spécialistes en médecine et en biologie de la reproduction, médecins gynécologues ou gynécologues-obstétriciens, sage-femmes, anesthésistes, ingénieur, techniciens de laboratoire, cadre de santé…)</w:t>
            </w:r>
          </w:p>
        </w:tc>
      </w:tr>
      <w:tr w:rsidR="00317E27" w:rsidRPr="00A35F14" w14:paraId="0AE38C38" w14:textId="77777777" w:rsidTr="00317E27">
        <w:trPr>
          <w:cantSplit/>
          <w:trHeight w:hRule="exact" w:val="227"/>
          <w:jc w:val="center"/>
        </w:trPr>
        <w:tc>
          <w:tcPr>
            <w:tcW w:w="2066" w:type="pct"/>
            <w:shd w:val="clear" w:color="auto" w:fill="DEEAF6" w:themeFill="accent5" w:themeFillTint="33"/>
            <w:noWrap/>
          </w:tcPr>
          <w:p w14:paraId="0A5C7E4C" w14:textId="77777777" w:rsidR="00317E27" w:rsidRDefault="00317E27" w:rsidP="00317E27">
            <w:pPr>
              <w:rPr>
                <w:rFonts w:cs="Arial"/>
                <w:b/>
                <w:bCs/>
                <w:color w:val="002060"/>
                <w:sz w:val="16"/>
                <w:szCs w:val="16"/>
              </w:rPr>
            </w:pPr>
            <w:r>
              <w:rPr>
                <w:rFonts w:cs="Arial"/>
                <w:b/>
                <w:bCs/>
                <w:color w:val="002060"/>
                <w:sz w:val="16"/>
                <w:szCs w:val="16"/>
              </w:rPr>
              <w:t xml:space="preserve">Nom-Prénom </w:t>
            </w:r>
          </w:p>
          <w:p w14:paraId="2D47818B" w14:textId="77777777" w:rsidR="00317E27" w:rsidRPr="00A35F14" w:rsidRDefault="00317E27" w:rsidP="00317E27">
            <w:pPr>
              <w:pStyle w:val="DecimalAligned"/>
              <w:rPr>
                <w:rFonts w:ascii="Arial" w:hAnsi="Arial" w:cs="Arial"/>
                <w:strike/>
                <w:color w:val="002060"/>
                <w:sz w:val="16"/>
                <w:szCs w:val="16"/>
              </w:rPr>
            </w:pPr>
          </w:p>
        </w:tc>
        <w:tc>
          <w:tcPr>
            <w:tcW w:w="1751" w:type="pct"/>
          </w:tcPr>
          <w:p w14:paraId="2B417A54" w14:textId="1965E4CE" w:rsidR="00317E27" w:rsidRPr="00A35F14" w:rsidRDefault="00317E27" w:rsidP="00317E27">
            <w:pPr>
              <w:pStyle w:val="DecimalAligned"/>
              <w:rPr>
                <w:rFonts w:ascii="Arial" w:hAnsi="Arial" w:cs="Arial"/>
                <w:strike/>
                <w:color w:val="002060"/>
                <w:sz w:val="16"/>
                <w:szCs w:val="16"/>
              </w:rPr>
            </w:pPr>
            <w:r w:rsidRPr="00317E27">
              <w:rPr>
                <w:rFonts w:cs="Arial"/>
                <w:b/>
                <w:bCs/>
                <w:color w:val="002060"/>
                <w:sz w:val="16"/>
                <w:szCs w:val="16"/>
              </w:rPr>
              <w:t>Fonction</w:t>
            </w:r>
          </w:p>
        </w:tc>
        <w:tc>
          <w:tcPr>
            <w:tcW w:w="1183" w:type="pct"/>
          </w:tcPr>
          <w:p w14:paraId="09FEB146" w14:textId="75077957" w:rsidR="00317E27" w:rsidRPr="00A35F14" w:rsidRDefault="00317E27" w:rsidP="00317E27">
            <w:pPr>
              <w:pStyle w:val="DecimalAligned"/>
              <w:rPr>
                <w:rFonts w:ascii="Arial" w:hAnsi="Arial" w:cs="Arial"/>
                <w:strike/>
                <w:color w:val="002060"/>
                <w:sz w:val="16"/>
                <w:szCs w:val="16"/>
              </w:rPr>
            </w:pPr>
            <w:r w:rsidRPr="00317E27">
              <w:rPr>
                <w:rFonts w:cs="Arial"/>
                <w:b/>
                <w:bCs/>
                <w:color w:val="002060"/>
                <w:sz w:val="16"/>
                <w:szCs w:val="16"/>
              </w:rPr>
              <w:t>Temps dédié CDPI</w:t>
            </w:r>
          </w:p>
        </w:tc>
      </w:tr>
      <w:tr w:rsidR="00317E27" w:rsidRPr="00A35F14" w14:paraId="33450105" w14:textId="77777777" w:rsidTr="00317E27">
        <w:trPr>
          <w:cantSplit/>
          <w:trHeight w:hRule="exact" w:val="227"/>
          <w:jc w:val="center"/>
        </w:trPr>
        <w:tc>
          <w:tcPr>
            <w:tcW w:w="2066" w:type="pct"/>
            <w:shd w:val="clear" w:color="auto" w:fill="DEEAF6" w:themeFill="accent5" w:themeFillTint="33"/>
            <w:noWrap/>
          </w:tcPr>
          <w:p w14:paraId="4530F20B" w14:textId="77777777" w:rsidR="00317E27" w:rsidRPr="00A35F14" w:rsidRDefault="00317E27" w:rsidP="00372DB9">
            <w:pPr>
              <w:pStyle w:val="DecimalAligned"/>
              <w:rPr>
                <w:rFonts w:ascii="Arial" w:hAnsi="Arial" w:cs="Arial"/>
                <w:strike/>
                <w:color w:val="002060"/>
                <w:sz w:val="16"/>
                <w:szCs w:val="16"/>
              </w:rPr>
            </w:pPr>
          </w:p>
        </w:tc>
        <w:tc>
          <w:tcPr>
            <w:tcW w:w="1751" w:type="pct"/>
          </w:tcPr>
          <w:p w14:paraId="01C260D9" w14:textId="77777777" w:rsidR="00317E27" w:rsidRPr="00A35F14" w:rsidRDefault="00317E27" w:rsidP="00372DB9">
            <w:pPr>
              <w:pStyle w:val="DecimalAligned"/>
              <w:rPr>
                <w:rFonts w:ascii="Arial" w:hAnsi="Arial" w:cs="Arial"/>
                <w:strike/>
                <w:color w:val="002060"/>
                <w:sz w:val="16"/>
                <w:szCs w:val="16"/>
              </w:rPr>
            </w:pPr>
          </w:p>
        </w:tc>
        <w:tc>
          <w:tcPr>
            <w:tcW w:w="1183" w:type="pct"/>
          </w:tcPr>
          <w:p w14:paraId="190A17F0" w14:textId="77777777" w:rsidR="00317E27" w:rsidRPr="00A35F14" w:rsidRDefault="00317E27" w:rsidP="00372DB9">
            <w:pPr>
              <w:pStyle w:val="DecimalAligned"/>
              <w:rPr>
                <w:rFonts w:ascii="Arial" w:hAnsi="Arial" w:cs="Arial"/>
                <w:strike/>
                <w:color w:val="002060"/>
                <w:sz w:val="16"/>
                <w:szCs w:val="16"/>
              </w:rPr>
            </w:pPr>
          </w:p>
        </w:tc>
      </w:tr>
      <w:tr w:rsidR="00317E27" w:rsidRPr="00A35F14" w14:paraId="63B15746" w14:textId="77777777" w:rsidTr="00317E27">
        <w:trPr>
          <w:cantSplit/>
          <w:trHeight w:hRule="exact" w:val="227"/>
          <w:jc w:val="center"/>
        </w:trPr>
        <w:tc>
          <w:tcPr>
            <w:tcW w:w="2066" w:type="pct"/>
            <w:shd w:val="clear" w:color="auto" w:fill="DEEAF6" w:themeFill="accent5" w:themeFillTint="33"/>
            <w:noWrap/>
          </w:tcPr>
          <w:p w14:paraId="14CB199A" w14:textId="77777777" w:rsidR="00317E27" w:rsidRPr="00A35F14" w:rsidRDefault="00317E27" w:rsidP="00372DB9">
            <w:pPr>
              <w:pStyle w:val="DecimalAligned"/>
              <w:rPr>
                <w:rFonts w:ascii="Arial" w:hAnsi="Arial" w:cs="Arial"/>
                <w:strike/>
                <w:color w:val="002060"/>
                <w:sz w:val="16"/>
                <w:szCs w:val="16"/>
              </w:rPr>
            </w:pPr>
          </w:p>
        </w:tc>
        <w:tc>
          <w:tcPr>
            <w:tcW w:w="1751" w:type="pct"/>
          </w:tcPr>
          <w:p w14:paraId="4EA1F140" w14:textId="77777777" w:rsidR="00317E27" w:rsidRPr="00A35F14" w:rsidRDefault="00317E27" w:rsidP="00372DB9">
            <w:pPr>
              <w:pStyle w:val="DecimalAligned"/>
              <w:rPr>
                <w:rFonts w:ascii="Arial" w:hAnsi="Arial" w:cs="Arial"/>
                <w:strike/>
                <w:color w:val="002060"/>
                <w:sz w:val="16"/>
                <w:szCs w:val="16"/>
              </w:rPr>
            </w:pPr>
          </w:p>
        </w:tc>
        <w:tc>
          <w:tcPr>
            <w:tcW w:w="1183" w:type="pct"/>
          </w:tcPr>
          <w:p w14:paraId="35B108F4" w14:textId="77777777" w:rsidR="00317E27" w:rsidRPr="00A35F14" w:rsidRDefault="00317E27" w:rsidP="00372DB9">
            <w:pPr>
              <w:pStyle w:val="DecimalAligned"/>
              <w:rPr>
                <w:rFonts w:ascii="Arial" w:hAnsi="Arial" w:cs="Arial"/>
                <w:strike/>
                <w:color w:val="002060"/>
                <w:sz w:val="16"/>
                <w:szCs w:val="16"/>
              </w:rPr>
            </w:pPr>
          </w:p>
        </w:tc>
      </w:tr>
      <w:tr w:rsidR="00317E27" w:rsidRPr="00A35F14" w14:paraId="39016D06" w14:textId="77777777" w:rsidTr="00317E27">
        <w:trPr>
          <w:cantSplit/>
          <w:trHeight w:hRule="exact" w:val="227"/>
          <w:jc w:val="center"/>
        </w:trPr>
        <w:tc>
          <w:tcPr>
            <w:tcW w:w="2066" w:type="pct"/>
            <w:shd w:val="clear" w:color="auto" w:fill="DEEAF6" w:themeFill="accent5" w:themeFillTint="33"/>
            <w:noWrap/>
          </w:tcPr>
          <w:p w14:paraId="727E168E" w14:textId="77777777" w:rsidR="00317E27" w:rsidRPr="00A35F14" w:rsidRDefault="00317E27" w:rsidP="00372DB9">
            <w:pPr>
              <w:pStyle w:val="DecimalAligned"/>
              <w:rPr>
                <w:rFonts w:ascii="Arial" w:hAnsi="Arial" w:cs="Arial"/>
                <w:strike/>
                <w:color w:val="002060"/>
                <w:sz w:val="16"/>
                <w:szCs w:val="16"/>
              </w:rPr>
            </w:pPr>
          </w:p>
        </w:tc>
        <w:tc>
          <w:tcPr>
            <w:tcW w:w="1751" w:type="pct"/>
          </w:tcPr>
          <w:p w14:paraId="6A343381" w14:textId="77777777" w:rsidR="00317E27" w:rsidRPr="00A35F14" w:rsidRDefault="00317E27" w:rsidP="00372DB9">
            <w:pPr>
              <w:pStyle w:val="DecimalAligned"/>
              <w:rPr>
                <w:rFonts w:ascii="Arial" w:hAnsi="Arial" w:cs="Arial"/>
                <w:strike/>
                <w:color w:val="002060"/>
                <w:sz w:val="16"/>
                <w:szCs w:val="16"/>
              </w:rPr>
            </w:pPr>
          </w:p>
        </w:tc>
        <w:tc>
          <w:tcPr>
            <w:tcW w:w="1183" w:type="pct"/>
          </w:tcPr>
          <w:p w14:paraId="6FA8C7AF" w14:textId="77777777" w:rsidR="00317E27" w:rsidRPr="00A35F14" w:rsidRDefault="00317E27" w:rsidP="00372DB9">
            <w:pPr>
              <w:pStyle w:val="DecimalAligned"/>
              <w:rPr>
                <w:rFonts w:ascii="Arial" w:hAnsi="Arial" w:cs="Arial"/>
                <w:strike/>
                <w:color w:val="002060"/>
                <w:sz w:val="16"/>
                <w:szCs w:val="16"/>
              </w:rPr>
            </w:pPr>
          </w:p>
        </w:tc>
      </w:tr>
      <w:tr w:rsidR="00317E27" w:rsidRPr="00A35F14" w14:paraId="3CCBB699" w14:textId="77777777" w:rsidTr="00317E27">
        <w:trPr>
          <w:cantSplit/>
          <w:trHeight w:hRule="exact" w:val="227"/>
          <w:jc w:val="center"/>
        </w:trPr>
        <w:tc>
          <w:tcPr>
            <w:tcW w:w="2066" w:type="pct"/>
            <w:shd w:val="clear" w:color="auto" w:fill="DEEAF6" w:themeFill="accent5" w:themeFillTint="33"/>
            <w:noWrap/>
          </w:tcPr>
          <w:p w14:paraId="06C0611D" w14:textId="77777777" w:rsidR="00317E27" w:rsidRPr="00A35F14" w:rsidRDefault="00317E27" w:rsidP="00372DB9">
            <w:pPr>
              <w:pStyle w:val="DecimalAligned"/>
              <w:rPr>
                <w:rFonts w:ascii="Arial" w:hAnsi="Arial" w:cs="Arial"/>
                <w:strike/>
                <w:color w:val="002060"/>
                <w:sz w:val="16"/>
                <w:szCs w:val="16"/>
              </w:rPr>
            </w:pPr>
          </w:p>
        </w:tc>
        <w:tc>
          <w:tcPr>
            <w:tcW w:w="1751" w:type="pct"/>
          </w:tcPr>
          <w:p w14:paraId="1D5A5886" w14:textId="77777777" w:rsidR="00317E27" w:rsidRPr="00A35F14" w:rsidRDefault="00317E27" w:rsidP="00372DB9">
            <w:pPr>
              <w:pStyle w:val="DecimalAligned"/>
              <w:rPr>
                <w:rFonts w:ascii="Arial" w:hAnsi="Arial" w:cs="Arial"/>
                <w:strike/>
                <w:color w:val="002060"/>
                <w:sz w:val="16"/>
                <w:szCs w:val="16"/>
              </w:rPr>
            </w:pPr>
          </w:p>
        </w:tc>
        <w:tc>
          <w:tcPr>
            <w:tcW w:w="1183" w:type="pct"/>
          </w:tcPr>
          <w:p w14:paraId="2E02CEFE" w14:textId="77777777" w:rsidR="00317E27" w:rsidRPr="00A35F14" w:rsidRDefault="00317E27" w:rsidP="00372DB9">
            <w:pPr>
              <w:pStyle w:val="DecimalAligned"/>
              <w:rPr>
                <w:rFonts w:ascii="Arial" w:hAnsi="Arial" w:cs="Arial"/>
                <w:strike/>
                <w:color w:val="002060"/>
                <w:sz w:val="16"/>
                <w:szCs w:val="16"/>
              </w:rPr>
            </w:pPr>
          </w:p>
        </w:tc>
      </w:tr>
      <w:tr w:rsidR="00317E27" w:rsidRPr="00A35F14" w14:paraId="3D52B941" w14:textId="77777777" w:rsidTr="00317E27">
        <w:trPr>
          <w:cantSplit/>
          <w:trHeight w:hRule="exact" w:val="227"/>
          <w:jc w:val="center"/>
        </w:trPr>
        <w:tc>
          <w:tcPr>
            <w:tcW w:w="2066" w:type="pct"/>
            <w:shd w:val="clear" w:color="auto" w:fill="DEEAF6" w:themeFill="accent5" w:themeFillTint="33"/>
            <w:noWrap/>
          </w:tcPr>
          <w:p w14:paraId="6E28DAA1" w14:textId="77777777" w:rsidR="00317E27" w:rsidRPr="00A35F14" w:rsidRDefault="00317E27" w:rsidP="00372DB9">
            <w:pPr>
              <w:pStyle w:val="DecimalAligned"/>
              <w:rPr>
                <w:rFonts w:ascii="Arial" w:hAnsi="Arial" w:cs="Arial"/>
                <w:strike/>
                <w:color w:val="002060"/>
                <w:sz w:val="16"/>
                <w:szCs w:val="16"/>
              </w:rPr>
            </w:pPr>
          </w:p>
        </w:tc>
        <w:tc>
          <w:tcPr>
            <w:tcW w:w="1751" w:type="pct"/>
          </w:tcPr>
          <w:p w14:paraId="30584488" w14:textId="77777777" w:rsidR="00317E27" w:rsidRPr="00A35F14" w:rsidRDefault="00317E27" w:rsidP="00372DB9">
            <w:pPr>
              <w:pStyle w:val="DecimalAligned"/>
              <w:rPr>
                <w:rFonts w:ascii="Arial" w:hAnsi="Arial" w:cs="Arial"/>
                <w:strike/>
                <w:color w:val="002060"/>
                <w:sz w:val="16"/>
                <w:szCs w:val="16"/>
              </w:rPr>
            </w:pPr>
          </w:p>
        </w:tc>
        <w:tc>
          <w:tcPr>
            <w:tcW w:w="1183" w:type="pct"/>
          </w:tcPr>
          <w:p w14:paraId="4549DA91" w14:textId="77777777" w:rsidR="00317E27" w:rsidRPr="00A35F14" w:rsidRDefault="00317E27" w:rsidP="00372DB9">
            <w:pPr>
              <w:pStyle w:val="DecimalAligned"/>
              <w:rPr>
                <w:rFonts w:ascii="Arial" w:hAnsi="Arial" w:cs="Arial"/>
                <w:strike/>
                <w:color w:val="002060"/>
                <w:sz w:val="16"/>
                <w:szCs w:val="16"/>
              </w:rPr>
            </w:pPr>
          </w:p>
        </w:tc>
      </w:tr>
      <w:tr w:rsidR="00317E27" w:rsidRPr="00A35F14" w14:paraId="195DF9BC" w14:textId="77777777" w:rsidTr="00317E27">
        <w:trPr>
          <w:cantSplit/>
          <w:trHeight w:hRule="exact" w:val="227"/>
          <w:jc w:val="center"/>
        </w:trPr>
        <w:tc>
          <w:tcPr>
            <w:tcW w:w="2066" w:type="pct"/>
            <w:shd w:val="clear" w:color="auto" w:fill="DEEAF6" w:themeFill="accent5" w:themeFillTint="33"/>
            <w:noWrap/>
          </w:tcPr>
          <w:p w14:paraId="256E0215" w14:textId="77777777" w:rsidR="00317E27" w:rsidRPr="00A35F14" w:rsidRDefault="00317E27" w:rsidP="00372DB9">
            <w:pPr>
              <w:pStyle w:val="DecimalAligned"/>
              <w:rPr>
                <w:rFonts w:ascii="Arial" w:hAnsi="Arial" w:cs="Arial"/>
                <w:strike/>
                <w:color w:val="002060"/>
                <w:sz w:val="16"/>
                <w:szCs w:val="16"/>
              </w:rPr>
            </w:pPr>
          </w:p>
        </w:tc>
        <w:tc>
          <w:tcPr>
            <w:tcW w:w="1751" w:type="pct"/>
          </w:tcPr>
          <w:p w14:paraId="08529774" w14:textId="77777777" w:rsidR="00317E27" w:rsidRPr="00A35F14" w:rsidRDefault="00317E27" w:rsidP="00372DB9">
            <w:pPr>
              <w:pStyle w:val="DecimalAligned"/>
              <w:rPr>
                <w:rFonts w:ascii="Arial" w:hAnsi="Arial" w:cs="Arial"/>
                <w:strike/>
                <w:color w:val="002060"/>
                <w:sz w:val="16"/>
                <w:szCs w:val="16"/>
              </w:rPr>
            </w:pPr>
          </w:p>
        </w:tc>
        <w:tc>
          <w:tcPr>
            <w:tcW w:w="1183" w:type="pct"/>
          </w:tcPr>
          <w:p w14:paraId="6388FCFA" w14:textId="77777777" w:rsidR="00317E27" w:rsidRPr="00A35F14" w:rsidRDefault="00317E27" w:rsidP="00372DB9">
            <w:pPr>
              <w:pStyle w:val="DecimalAligned"/>
              <w:rPr>
                <w:rFonts w:ascii="Arial" w:hAnsi="Arial" w:cs="Arial"/>
                <w:strike/>
                <w:color w:val="002060"/>
                <w:sz w:val="16"/>
                <w:szCs w:val="16"/>
              </w:rPr>
            </w:pPr>
          </w:p>
        </w:tc>
      </w:tr>
      <w:tr w:rsidR="00317E27" w:rsidRPr="00317E27" w14:paraId="75CD3884" w14:textId="77777777" w:rsidTr="00317E27">
        <w:trPr>
          <w:cantSplit/>
          <w:trHeight w:hRule="exact" w:val="520"/>
          <w:jc w:val="center"/>
        </w:trPr>
        <w:tc>
          <w:tcPr>
            <w:tcW w:w="5000" w:type="pct"/>
            <w:gridSpan w:val="3"/>
            <w:shd w:val="clear" w:color="auto" w:fill="BDD6EE" w:themeFill="accent5" w:themeFillTint="66"/>
            <w:noWrap/>
          </w:tcPr>
          <w:p w14:paraId="4D955AE7" w14:textId="31A3CED2" w:rsidR="00317E27" w:rsidRPr="00317E27" w:rsidRDefault="00317E27" w:rsidP="00317E27">
            <w:pPr>
              <w:rPr>
                <w:rFonts w:cs="Arial"/>
                <w:i/>
                <w:iCs/>
                <w:color w:val="002060"/>
                <w:sz w:val="16"/>
                <w:szCs w:val="16"/>
              </w:rPr>
            </w:pPr>
            <w:r w:rsidRPr="00317E27">
              <w:rPr>
                <w:rFonts w:cs="Arial"/>
                <w:i/>
                <w:iCs/>
                <w:color w:val="002060"/>
                <w:sz w:val="16"/>
                <w:szCs w:val="16"/>
              </w:rPr>
              <w:lastRenderedPageBreak/>
              <w:t>Personnels affectés des laboratoires de diagnostic génétique (biologiste responsable, ingénieur, techniciens, cadre de santé…)</w:t>
            </w:r>
          </w:p>
        </w:tc>
      </w:tr>
      <w:tr w:rsidR="00317E27" w:rsidRPr="00317E27" w14:paraId="74CFE273" w14:textId="77777777" w:rsidTr="00317E27">
        <w:trPr>
          <w:cantSplit/>
          <w:trHeight w:hRule="exact" w:val="227"/>
          <w:jc w:val="center"/>
        </w:trPr>
        <w:tc>
          <w:tcPr>
            <w:tcW w:w="2066" w:type="pct"/>
            <w:shd w:val="clear" w:color="auto" w:fill="DEEAF6" w:themeFill="accent5" w:themeFillTint="33"/>
            <w:noWrap/>
          </w:tcPr>
          <w:p w14:paraId="3D7F21EC" w14:textId="77777777" w:rsidR="00317E27" w:rsidRDefault="00317E27" w:rsidP="00317E27">
            <w:pPr>
              <w:rPr>
                <w:rFonts w:cs="Arial"/>
                <w:b/>
                <w:bCs/>
                <w:color w:val="002060"/>
                <w:sz w:val="16"/>
                <w:szCs w:val="16"/>
              </w:rPr>
            </w:pPr>
            <w:r>
              <w:rPr>
                <w:rFonts w:cs="Arial"/>
                <w:b/>
                <w:bCs/>
                <w:color w:val="002060"/>
                <w:sz w:val="16"/>
                <w:szCs w:val="16"/>
              </w:rPr>
              <w:t xml:space="preserve">Nom-Prénom </w:t>
            </w:r>
          </w:p>
          <w:p w14:paraId="19AC0CBB" w14:textId="77777777" w:rsidR="00317E27" w:rsidRPr="00317E27" w:rsidRDefault="00317E27" w:rsidP="00317E27">
            <w:pPr>
              <w:rPr>
                <w:rFonts w:cs="Arial"/>
                <w:i/>
                <w:iCs/>
                <w:color w:val="002060"/>
                <w:sz w:val="16"/>
                <w:szCs w:val="16"/>
              </w:rPr>
            </w:pPr>
          </w:p>
        </w:tc>
        <w:tc>
          <w:tcPr>
            <w:tcW w:w="1751" w:type="pct"/>
          </w:tcPr>
          <w:p w14:paraId="78713434" w14:textId="51453B51" w:rsidR="00317E27" w:rsidRPr="00317E27" w:rsidRDefault="00317E27" w:rsidP="00317E27">
            <w:pPr>
              <w:rPr>
                <w:rFonts w:cs="Arial"/>
                <w:i/>
                <w:iCs/>
                <w:color w:val="002060"/>
                <w:sz w:val="16"/>
                <w:szCs w:val="16"/>
              </w:rPr>
            </w:pPr>
            <w:r w:rsidRPr="00317E27">
              <w:rPr>
                <w:rFonts w:cs="Arial"/>
                <w:b/>
                <w:bCs/>
                <w:color w:val="002060"/>
                <w:sz w:val="16"/>
                <w:szCs w:val="16"/>
              </w:rPr>
              <w:t>Fonction</w:t>
            </w:r>
          </w:p>
        </w:tc>
        <w:tc>
          <w:tcPr>
            <w:tcW w:w="1183" w:type="pct"/>
          </w:tcPr>
          <w:p w14:paraId="29EC99AA" w14:textId="6801716F" w:rsidR="00317E27" w:rsidRPr="00317E27" w:rsidRDefault="00317E27" w:rsidP="00317E27">
            <w:pPr>
              <w:rPr>
                <w:rFonts w:cs="Arial"/>
                <w:i/>
                <w:iCs/>
                <w:color w:val="002060"/>
                <w:sz w:val="16"/>
                <w:szCs w:val="16"/>
              </w:rPr>
            </w:pPr>
            <w:r w:rsidRPr="00317E27">
              <w:rPr>
                <w:rFonts w:cs="Arial"/>
                <w:b/>
                <w:bCs/>
                <w:color w:val="002060"/>
                <w:sz w:val="16"/>
                <w:szCs w:val="16"/>
              </w:rPr>
              <w:t>Temps dédié CDPI</w:t>
            </w:r>
          </w:p>
        </w:tc>
      </w:tr>
      <w:tr w:rsidR="00317E27" w:rsidRPr="00317E27" w14:paraId="7D43EE52" w14:textId="77777777" w:rsidTr="00317E27">
        <w:trPr>
          <w:cantSplit/>
          <w:trHeight w:hRule="exact" w:val="227"/>
          <w:jc w:val="center"/>
        </w:trPr>
        <w:tc>
          <w:tcPr>
            <w:tcW w:w="2066" w:type="pct"/>
            <w:shd w:val="clear" w:color="auto" w:fill="DEEAF6" w:themeFill="accent5" w:themeFillTint="33"/>
            <w:noWrap/>
          </w:tcPr>
          <w:p w14:paraId="6723DED7" w14:textId="77777777" w:rsidR="00317E27" w:rsidRPr="00317E27" w:rsidRDefault="00317E27" w:rsidP="00317E27">
            <w:pPr>
              <w:rPr>
                <w:rFonts w:cs="Arial"/>
                <w:i/>
                <w:iCs/>
                <w:color w:val="002060"/>
                <w:sz w:val="16"/>
                <w:szCs w:val="16"/>
              </w:rPr>
            </w:pPr>
          </w:p>
        </w:tc>
        <w:tc>
          <w:tcPr>
            <w:tcW w:w="1751" w:type="pct"/>
          </w:tcPr>
          <w:p w14:paraId="6628C13C" w14:textId="77777777" w:rsidR="00317E27" w:rsidRPr="00317E27" w:rsidRDefault="00317E27" w:rsidP="00317E27">
            <w:pPr>
              <w:rPr>
                <w:rFonts w:cs="Arial"/>
                <w:i/>
                <w:iCs/>
                <w:color w:val="002060"/>
                <w:sz w:val="16"/>
                <w:szCs w:val="16"/>
              </w:rPr>
            </w:pPr>
          </w:p>
        </w:tc>
        <w:tc>
          <w:tcPr>
            <w:tcW w:w="1183" w:type="pct"/>
          </w:tcPr>
          <w:p w14:paraId="448A008D" w14:textId="77777777" w:rsidR="00317E27" w:rsidRPr="00317E27" w:rsidRDefault="00317E27" w:rsidP="00317E27">
            <w:pPr>
              <w:rPr>
                <w:rFonts w:cs="Arial"/>
                <w:i/>
                <w:iCs/>
                <w:color w:val="002060"/>
                <w:sz w:val="16"/>
                <w:szCs w:val="16"/>
              </w:rPr>
            </w:pPr>
          </w:p>
        </w:tc>
      </w:tr>
      <w:tr w:rsidR="00317E27" w:rsidRPr="00317E27" w14:paraId="13B3868D" w14:textId="77777777" w:rsidTr="00317E27">
        <w:trPr>
          <w:cantSplit/>
          <w:trHeight w:hRule="exact" w:val="227"/>
          <w:jc w:val="center"/>
        </w:trPr>
        <w:tc>
          <w:tcPr>
            <w:tcW w:w="2066" w:type="pct"/>
            <w:shd w:val="clear" w:color="auto" w:fill="DEEAF6" w:themeFill="accent5" w:themeFillTint="33"/>
            <w:noWrap/>
          </w:tcPr>
          <w:p w14:paraId="6FE71AAC" w14:textId="77777777" w:rsidR="00317E27" w:rsidRPr="00317E27" w:rsidRDefault="00317E27" w:rsidP="00317E27">
            <w:pPr>
              <w:rPr>
                <w:rFonts w:cs="Arial"/>
                <w:i/>
                <w:iCs/>
                <w:color w:val="002060"/>
                <w:sz w:val="16"/>
                <w:szCs w:val="16"/>
              </w:rPr>
            </w:pPr>
          </w:p>
        </w:tc>
        <w:tc>
          <w:tcPr>
            <w:tcW w:w="1751" w:type="pct"/>
          </w:tcPr>
          <w:p w14:paraId="0FF72881" w14:textId="77777777" w:rsidR="00317E27" w:rsidRPr="00317E27" w:rsidRDefault="00317E27" w:rsidP="00317E27">
            <w:pPr>
              <w:rPr>
                <w:rFonts w:cs="Arial"/>
                <w:i/>
                <w:iCs/>
                <w:color w:val="002060"/>
                <w:sz w:val="16"/>
                <w:szCs w:val="16"/>
              </w:rPr>
            </w:pPr>
          </w:p>
        </w:tc>
        <w:tc>
          <w:tcPr>
            <w:tcW w:w="1183" w:type="pct"/>
          </w:tcPr>
          <w:p w14:paraId="17D9A59F" w14:textId="77777777" w:rsidR="00317E27" w:rsidRPr="00317E27" w:rsidRDefault="00317E27" w:rsidP="00317E27">
            <w:pPr>
              <w:rPr>
                <w:rFonts w:cs="Arial"/>
                <w:i/>
                <w:iCs/>
                <w:color w:val="002060"/>
                <w:sz w:val="16"/>
                <w:szCs w:val="16"/>
              </w:rPr>
            </w:pPr>
          </w:p>
        </w:tc>
      </w:tr>
      <w:tr w:rsidR="00317E27" w:rsidRPr="00317E27" w14:paraId="3B5AB30D" w14:textId="77777777" w:rsidTr="00317E27">
        <w:trPr>
          <w:cantSplit/>
          <w:trHeight w:hRule="exact" w:val="227"/>
          <w:jc w:val="center"/>
        </w:trPr>
        <w:tc>
          <w:tcPr>
            <w:tcW w:w="2066" w:type="pct"/>
            <w:shd w:val="clear" w:color="auto" w:fill="DEEAF6" w:themeFill="accent5" w:themeFillTint="33"/>
            <w:noWrap/>
          </w:tcPr>
          <w:p w14:paraId="693D9521" w14:textId="77777777" w:rsidR="00317E27" w:rsidRPr="00317E27" w:rsidRDefault="00317E27" w:rsidP="00317E27">
            <w:pPr>
              <w:rPr>
                <w:rFonts w:cs="Arial"/>
                <w:i/>
                <w:iCs/>
                <w:color w:val="002060"/>
                <w:sz w:val="16"/>
                <w:szCs w:val="16"/>
              </w:rPr>
            </w:pPr>
          </w:p>
        </w:tc>
        <w:tc>
          <w:tcPr>
            <w:tcW w:w="1751" w:type="pct"/>
          </w:tcPr>
          <w:p w14:paraId="7A8EFEE2" w14:textId="77777777" w:rsidR="00317E27" w:rsidRPr="00317E27" w:rsidRDefault="00317E27" w:rsidP="00317E27">
            <w:pPr>
              <w:rPr>
                <w:rFonts w:cs="Arial"/>
                <w:i/>
                <w:iCs/>
                <w:color w:val="002060"/>
                <w:sz w:val="16"/>
                <w:szCs w:val="16"/>
              </w:rPr>
            </w:pPr>
          </w:p>
        </w:tc>
        <w:tc>
          <w:tcPr>
            <w:tcW w:w="1183" w:type="pct"/>
          </w:tcPr>
          <w:p w14:paraId="5AD51385" w14:textId="77777777" w:rsidR="00317E27" w:rsidRPr="00317E27" w:rsidRDefault="00317E27" w:rsidP="00317E27">
            <w:pPr>
              <w:rPr>
                <w:rFonts w:cs="Arial"/>
                <w:i/>
                <w:iCs/>
                <w:color w:val="002060"/>
                <w:sz w:val="16"/>
                <w:szCs w:val="16"/>
              </w:rPr>
            </w:pPr>
          </w:p>
        </w:tc>
      </w:tr>
      <w:tr w:rsidR="00317E27" w:rsidRPr="00317E27" w14:paraId="4C6762F6" w14:textId="77777777" w:rsidTr="00317E27">
        <w:trPr>
          <w:cantSplit/>
          <w:trHeight w:hRule="exact" w:val="227"/>
          <w:jc w:val="center"/>
        </w:trPr>
        <w:tc>
          <w:tcPr>
            <w:tcW w:w="2066" w:type="pct"/>
            <w:shd w:val="clear" w:color="auto" w:fill="DEEAF6" w:themeFill="accent5" w:themeFillTint="33"/>
            <w:noWrap/>
          </w:tcPr>
          <w:p w14:paraId="73F80B38" w14:textId="77777777" w:rsidR="00317E27" w:rsidRPr="00317E27" w:rsidRDefault="00317E27" w:rsidP="00317E27">
            <w:pPr>
              <w:rPr>
                <w:rFonts w:cs="Arial"/>
                <w:i/>
                <w:iCs/>
                <w:color w:val="002060"/>
                <w:sz w:val="16"/>
                <w:szCs w:val="16"/>
              </w:rPr>
            </w:pPr>
          </w:p>
        </w:tc>
        <w:tc>
          <w:tcPr>
            <w:tcW w:w="1751" w:type="pct"/>
          </w:tcPr>
          <w:p w14:paraId="0DD36C2B" w14:textId="77777777" w:rsidR="00317E27" w:rsidRPr="00317E27" w:rsidRDefault="00317E27" w:rsidP="00317E27">
            <w:pPr>
              <w:rPr>
                <w:rFonts w:cs="Arial"/>
                <w:i/>
                <w:iCs/>
                <w:color w:val="002060"/>
                <w:sz w:val="16"/>
                <w:szCs w:val="16"/>
              </w:rPr>
            </w:pPr>
          </w:p>
        </w:tc>
        <w:tc>
          <w:tcPr>
            <w:tcW w:w="1183" w:type="pct"/>
          </w:tcPr>
          <w:p w14:paraId="02E954D0" w14:textId="77777777" w:rsidR="00317E27" w:rsidRPr="00317E27" w:rsidRDefault="00317E27" w:rsidP="00317E27">
            <w:pPr>
              <w:rPr>
                <w:rFonts w:cs="Arial"/>
                <w:i/>
                <w:iCs/>
                <w:color w:val="002060"/>
                <w:sz w:val="16"/>
                <w:szCs w:val="16"/>
              </w:rPr>
            </w:pPr>
          </w:p>
        </w:tc>
      </w:tr>
      <w:tr w:rsidR="00317E27" w:rsidRPr="00317E27" w14:paraId="27A554EE" w14:textId="77777777" w:rsidTr="00317E27">
        <w:trPr>
          <w:cantSplit/>
          <w:trHeight w:hRule="exact" w:val="227"/>
          <w:jc w:val="center"/>
        </w:trPr>
        <w:tc>
          <w:tcPr>
            <w:tcW w:w="2066" w:type="pct"/>
            <w:shd w:val="clear" w:color="auto" w:fill="DEEAF6" w:themeFill="accent5" w:themeFillTint="33"/>
            <w:noWrap/>
          </w:tcPr>
          <w:p w14:paraId="354C6870" w14:textId="77777777" w:rsidR="00317E27" w:rsidRPr="00317E27" w:rsidRDefault="00317E27" w:rsidP="00317E27">
            <w:pPr>
              <w:rPr>
                <w:rFonts w:cs="Arial"/>
                <w:i/>
                <w:iCs/>
                <w:color w:val="002060"/>
                <w:sz w:val="16"/>
                <w:szCs w:val="16"/>
              </w:rPr>
            </w:pPr>
          </w:p>
        </w:tc>
        <w:tc>
          <w:tcPr>
            <w:tcW w:w="1751" w:type="pct"/>
          </w:tcPr>
          <w:p w14:paraId="4F4F5ED6" w14:textId="77777777" w:rsidR="00317E27" w:rsidRPr="00317E27" w:rsidRDefault="00317E27" w:rsidP="00317E27">
            <w:pPr>
              <w:rPr>
                <w:rFonts w:cs="Arial"/>
                <w:i/>
                <w:iCs/>
                <w:color w:val="002060"/>
                <w:sz w:val="16"/>
                <w:szCs w:val="16"/>
              </w:rPr>
            </w:pPr>
          </w:p>
        </w:tc>
        <w:tc>
          <w:tcPr>
            <w:tcW w:w="1183" w:type="pct"/>
          </w:tcPr>
          <w:p w14:paraId="32F622E4" w14:textId="77777777" w:rsidR="00317E27" w:rsidRPr="00317E27" w:rsidRDefault="00317E27" w:rsidP="00317E27">
            <w:pPr>
              <w:rPr>
                <w:rFonts w:cs="Arial"/>
                <w:i/>
                <w:iCs/>
                <w:color w:val="002060"/>
                <w:sz w:val="16"/>
                <w:szCs w:val="16"/>
              </w:rPr>
            </w:pPr>
          </w:p>
        </w:tc>
      </w:tr>
      <w:tr w:rsidR="00317E27" w:rsidRPr="00317E27" w14:paraId="5CA00755" w14:textId="77777777" w:rsidTr="00317E27">
        <w:trPr>
          <w:cantSplit/>
          <w:trHeight w:hRule="exact" w:val="227"/>
          <w:jc w:val="center"/>
        </w:trPr>
        <w:tc>
          <w:tcPr>
            <w:tcW w:w="2066" w:type="pct"/>
            <w:shd w:val="clear" w:color="auto" w:fill="DEEAF6" w:themeFill="accent5" w:themeFillTint="33"/>
            <w:noWrap/>
          </w:tcPr>
          <w:p w14:paraId="0CB7E89C" w14:textId="77777777" w:rsidR="00317E27" w:rsidRPr="00317E27" w:rsidRDefault="00317E27" w:rsidP="00317E27">
            <w:pPr>
              <w:rPr>
                <w:rFonts w:cs="Arial"/>
                <w:i/>
                <w:iCs/>
                <w:color w:val="002060"/>
                <w:sz w:val="16"/>
                <w:szCs w:val="16"/>
              </w:rPr>
            </w:pPr>
          </w:p>
        </w:tc>
        <w:tc>
          <w:tcPr>
            <w:tcW w:w="1751" w:type="pct"/>
          </w:tcPr>
          <w:p w14:paraId="06635A5A" w14:textId="77777777" w:rsidR="00317E27" w:rsidRPr="00317E27" w:rsidRDefault="00317E27" w:rsidP="00317E27">
            <w:pPr>
              <w:rPr>
                <w:rFonts w:cs="Arial"/>
                <w:i/>
                <w:iCs/>
                <w:color w:val="002060"/>
                <w:sz w:val="16"/>
                <w:szCs w:val="16"/>
              </w:rPr>
            </w:pPr>
          </w:p>
        </w:tc>
        <w:tc>
          <w:tcPr>
            <w:tcW w:w="1183" w:type="pct"/>
          </w:tcPr>
          <w:p w14:paraId="2C8DF295" w14:textId="77777777" w:rsidR="00317E27" w:rsidRPr="00317E27" w:rsidRDefault="00317E27" w:rsidP="00317E27">
            <w:pPr>
              <w:rPr>
                <w:rFonts w:cs="Arial"/>
                <w:i/>
                <w:iCs/>
                <w:color w:val="002060"/>
                <w:sz w:val="16"/>
                <w:szCs w:val="16"/>
              </w:rPr>
            </w:pPr>
          </w:p>
        </w:tc>
      </w:tr>
      <w:tr w:rsidR="00317E27" w:rsidRPr="00317E27" w14:paraId="2431FB41" w14:textId="77777777" w:rsidTr="005A5DCE">
        <w:trPr>
          <w:cnfStyle w:val="010000000000" w:firstRow="0" w:lastRow="1" w:firstColumn="0" w:lastColumn="0" w:oddVBand="0" w:evenVBand="0" w:oddHBand="0" w:evenHBand="0" w:firstRowFirstColumn="0" w:firstRowLastColumn="0" w:lastRowFirstColumn="0" w:lastRowLastColumn="0"/>
          <w:cantSplit/>
          <w:trHeight w:hRule="exact" w:val="227"/>
          <w:jc w:val="center"/>
        </w:trPr>
        <w:tc>
          <w:tcPr>
            <w:tcW w:w="2066" w:type="pct"/>
            <w:tcBorders>
              <w:top w:val="none" w:sz="0" w:space="0" w:color="auto"/>
              <w:left w:val="none" w:sz="0" w:space="0" w:color="auto"/>
              <w:bottom w:val="none" w:sz="0" w:space="0" w:color="auto"/>
              <w:right w:val="none" w:sz="0" w:space="0" w:color="auto"/>
            </w:tcBorders>
            <w:shd w:val="clear" w:color="auto" w:fill="DEEAF6" w:themeFill="accent5" w:themeFillTint="33"/>
            <w:noWrap/>
          </w:tcPr>
          <w:p w14:paraId="0246337B" w14:textId="77777777" w:rsidR="00317E27" w:rsidRPr="00317E27" w:rsidRDefault="00317E27" w:rsidP="00317E27">
            <w:pPr>
              <w:rPr>
                <w:rFonts w:cs="Arial"/>
                <w:i/>
                <w:iCs/>
                <w:color w:val="002060"/>
                <w:sz w:val="16"/>
                <w:szCs w:val="16"/>
              </w:rPr>
            </w:pPr>
          </w:p>
        </w:tc>
        <w:tc>
          <w:tcPr>
            <w:tcW w:w="1751" w:type="pct"/>
            <w:tcBorders>
              <w:top w:val="none" w:sz="0" w:space="0" w:color="auto"/>
              <w:left w:val="none" w:sz="0" w:space="0" w:color="auto"/>
              <w:bottom w:val="none" w:sz="0" w:space="0" w:color="auto"/>
              <w:right w:val="none" w:sz="0" w:space="0" w:color="auto"/>
            </w:tcBorders>
          </w:tcPr>
          <w:p w14:paraId="5A31A2DD" w14:textId="77777777" w:rsidR="00317E27" w:rsidRPr="00317E27" w:rsidRDefault="00317E27" w:rsidP="00317E27">
            <w:pPr>
              <w:rPr>
                <w:rFonts w:cs="Arial"/>
                <w:i/>
                <w:iCs/>
                <w:color w:val="002060"/>
                <w:sz w:val="16"/>
                <w:szCs w:val="16"/>
              </w:rPr>
            </w:pPr>
          </w:p>
        </w:tc>
        <w:tc>
          <w:tcPr>
            <w:tcW w:w="1183" w:type="pct"/>
            <w:tcBorders>
              <w:top w:val="none" w:sz="0" w:space="0" w:color="auto"/>
              <w:left w:val="none" w:sz="0" w:space="0" w:color="auto"/>
              <w:bottom w:val="none" w:sz="0" w:space="0" w:color="auto"/>
              <w:right w:val="none" w:sz="0" w:space="0" w:color="auto"/>
            </w:tcBorders>
          </w:tcPr>
          <w:p w14:paraId="3D41E66F" w14:textId="77777777" w:rsidR="00317E27" w:rsidRPr="00317E27" w:rsidRDefault="00317E27" w:rsidP="00317E27">
            <w:pPr>
              <w:rPr>
                <w:rFonts w:cs="Arial"/>
                <w:i/>
                <w:iCs/>
                <w:color w:val="002060"/>
                <w:sz w:val="16"/>
                <w:szCs w:val="16"/>
              </w:rPr>
            </w:pPr>
          </w:p>
        </w:tc>
      </w:tr>
    </w:tbl>
    <w:p w14:paraId="3DC2E5AD" w14:textId="3B7A982E" w:rsidR="00252B18" w:rsidRPr="00317E27" w:rsidRDefault="00252B18" w:rsidP="00415A5F">
      <w:pPr>
        <w:rPr>
          <w:rFonts w:eastAsiaTheme="minorEastAsia" w:cs="Arial"/>
          <w:i/>
          <w:iCs/>
          <w:color w:val="002060"/>
          <w:kern w:val="0"/>
          <w:sz w:val="16"/>
          <w:szCs w:val="16"/>
          <w:lang w:eastAsia="fr-FR"/>
          <w14:ligatures w14:val="none"/>
        </w:rPr>
      </w:pPr>
    </w:p>
    <w:p w14:paraId="47FE46D8" w14:textId="77777777" w:rsidR="000E5A9D" w:rsidRPr="00A35F14" w:rsidRDefault="000E5A9D" w:rsidP="00CA3D34">
      <w:pPr>
        <w:pStyle w:val="Titre2"/>
        <w:rPr>
          <w:rStyle w:val="Accentuationlgre"/>
          <w:rFonts w:cstheme="majorBidi"/>
          <w:strike/>
          <w:color w:val="auto"/>
          <w:spacing w:val="0"/>
          <w:sz w:val="20"/>
          <w:szCs w:val="26"/>
        </w:rPr>
      </w:pPr>
      <w:bookmarkStart w:id="138" w:name="_Toc175337974"/>
      <w:bookmarkStart w:id="139" w:name="_Toc175338097"/>
      <w:bookmarkStart w:id="140" w:name="_Toc175338151"/>
      <w:bookmarkStart w:id="141" w:name="_Toc175338205"/>
      <w:bookmarkStart w:id="142" w:name="_Toc176182529"/>
    </w:p>
    <w:p w14:paraId="42052641" w14:textId="77777777" w:rsidR="000E5A9D" w:rsidRPr="00A35F14" w:rsidRDefault="000E5A9D" w:rsidP="000E5A9D">
      <w:pPr>
        <w:rPr>
          <w:strike/>
        </w:rPr>
      </w:pPr>
    </w:p>
    <w:bookmarkEnd w:id="138"/>
    <w:bookmarkEnd w:id="139"/>
    <w:bookmarkEnd w:id="140"/>
    <w:bookmarkEnd w:id="141"/>
    <w:bookmarkEnd w:id="142"/>
    <w:p w14:paraId="6C7E4C9B" w14:textId="4937967B" w:rsidR="00EC0D7D" w:rsidRPr="00744280" w:rsidRDefault="00EC0D7D" w:rsidP="00F5008E">
      <w:pPr>
        <w:jc w:val="left"/>
        <w:rPr>
          <w:b/>
          <w:bCs/>
          <w:color w:val="002060"/>
        </w:rPr>
      </w:pPr>
      <w:r w:rsidRPr="00744280">
        <w:rPr>
          <w:b/>
          <w:bCs/>
          <w:color w:val="002060"/>
        </w:rPr>
        <w:t>Annexe 3</w:t>
      </w:r>
      <w:r w:rsidR="00CD2598">
        <w:rPr>
          <w:b/>
          <w:bCs/>
          <w:color w:val="002060"/>
        </w:rPr>
        <w:t xml:space="preserve"> </w:t>
      </w:r>
      <w:r w:rsidR="00CD2598" w:rsidRPr="00317E27">
        <w:rPr>
          <w:b/>
          <w:bCs/>
          <w:color w:val="002060"/>
        </w:rPr>
        <w:t xml:space="preserve">- </w:t>
      </w:r>
      <w:r w:rsidRPr="00744280">
        <w:rPr>
          <w:b/>
          <w:bCs/>
          <w:color w:val="002060"/>
        </w:rPr>
        <w:t xml:space="preserve">Modèle type d’attestation d’engagement d’un membre du </w:t>
      </w:r>
      <w:r w:rsidR="00005A08" w:rsidRPr="00744280">
        <w:rPr>
          <w:b/>
          <w:bCs/>
          <w:color w:val="002060"/>
        </w:rPr>
        <w:t>CDPI</w:t>
      </w:r>
    </w:p>
    <w:p w14:paraId="1E180F75" w14:textId="1CB16848" w:rsidR="00606FB1" w:rsidRPr="00744280" w:rsidRDefault="00606FB1" w:rsidP="00EC0D7D"/>
    <w:p w14:paraId="7476C772" w14:textId="77777777" w:rsidR="00EC0D7D" w:rsidRPr="00744280" w:rsidRDefault="00EC0D7D" w:rsidP="00EC0D7D"/>
    <w:p w14:paraId="0BCE608C" w14:textId="6959FC53" w:rsidR="00EC0D7D" w:rsidRPr="00744280" w:rsidRDefault="00EC0D7D" w:rsidP="00EC0D7D">
      <w:pPr>
        <w:rPr>
          <w:i/>
          <w:iCs/>
        </w:rPr>
      </w:pPr>
      <w:r w:rsidRPr="00744280">
        <w:t xml:space="preserve">Je soussigné(e) Dr/M/Mme </w:t>
      </w:r>
      <w:r w:rsidRPr="00744280">
        <w:rPr>
          <w:i/>
          <w:iCs/>
        </w:rPr>
        <w:t xml:space="preserve">(Nom, </w:t>
      </w:r>
      <w:proofErr w:type="gramStart"/>
      <w:r w:rsidR="004E6A2B" w:rsidRPr="00744280">
        <w:rPr>
          <w:i/>
          <w:iCs/>
        </w:rPr>
        <w:t>prénom)</w:t>
      </w:r>
      <w:r w:rsidR="004E6A2B" w:rsidRPr="00744280">
        <w:t xml:space="preserve">  </w:t>
      </w:r>
      <w:r w:rsidRPr="00744280">
        <w:t>…</w:t>
      </w:r>
      <w:proofErr w:type="gramEnd"/>
      <w:r w:rsidRPr="00744280">
        <w:t xml:space="preserve">……………………….., </w:t>
      </w:r>
      <w:r w:rsidRPr="00744280">
        <w:rPr>
          <w:i/>
          <w:iCs/>
        </w:rPr>
        <w:t>(fonction</w:t>
      </w:r>
      <w:r w:rsidR="005F1E65" w:rsidRPr="00744280">
        <w:rPr>
          <w:i/>
          <w:iCs/>
        </w:rPr>
        <w:t> ………</w:t>
      </w:r>
      <w:r w:rsidR="00571E46" w:rsidRPr="00744280">
        <w:rPr>
          <w:i/>
          <w:iCs/>
        </w:rPr>
        <w:t>….</w:t>
      </w:r>
      <w:r w:rsidR="005F1E65" w:rsidRPr="00744280">
        <w:rPr>
          <w:i/>
          <w:iCs/>
        </w:rPr>
        <w:t>………..</w:t>
      </w:r>
      <w:r w:rsidRPr="00744280">
        <w:rPr>
          <w:i/>
          <w:iCs/>
        </w:rPr>
        <w:t>), exerçant à</w:t>
      </w:r>
    </w:p>
    <w:p w14:paraId="075A7F5A" w14:textId="77777777" w:rsidR="00EC0D7D" w:rsidRPr="00744280" w:rsidRDefault="00EC0D7D" w:rsidP="00EC0D7D">
      <w:pPr>
        <w:rPr>
          <w:i/>
          <w:iCs/>
        </w:rPr>
      </w:pPr>
      <w:r w:rsidRPr="00744280">
        <w:rPr>
          <w:i/>
          <w:iCs/>
        </w:rPr>
        <w:t>Déclare :</w:t>
      </w:r>
    </w:p>
    <w:p w14:paraId="35D464C8" w14:textId="70C0482C" w:rsidR="00EC0D7D" w:rsidRPr="00744280" w:rsidRDefault="00EC0D7D" w:rsidP="00CF642A">
      <w:pPr>
        <w:pStyle w:val="Paragraphedeliste"/>
        <w:numPr>
          <w:ilvl w:val="0"/>
          <w:numId w:val="10"/>
        </w:numPr>
      </w:pPr>
      <w:r w:rsidRPr="00744280">
        <w:rPr>
          <w:i/>
          <w:iCs/>
        </w:rPr>
        <w:t>Avoir pris connaissance et</w:t>
      </w:r>
      <w:r w:rsidR="00B55276" w:rsidRPr="00744280">
        <w:rPr>
          <w:i/>
          <w:iCs/>
        </w:rPr>
        <w:t xml:space="preserve"> m’engage à</w:t>
      </w:r>
      <w:r w:rsidRPr="00744280">
        <w:rPr>
          <w:i/>
          <w:iCs/>
        </w:rPr>
        <w:t xml:space="preserve"> respecter les dispositions législatives et réglementaires s’appliquant au </w:t>
      </w:r>
      <w:r w:rsidR="00005A08" w:rsidRPr="00744280">
        <w:rPr>
          <w:i/>
          <w:iCs/>
        </w:rPr>
        <w:t>CDPI</w:t>
      </w:r>
      <w:r w:rsidRPr="00744280">
        <w:rPr>
          <w:i/>
          <w:iCs/>
        </w:rPr>
        <w:t> ;</w:t>
      </w:r>
    </w:p>
    <w:p w14:paraId="302B1244" w14:textId="1B578290" w:rsidR="00EC0D7D" w:rsidRDefault="00EC0D7D" w:rsidP="00CF642A">
      <w:pPr>
        <w:pStyle w:val="Paragraphedeliste"/>
        <w:numPr>
          <w:ilvl w:val="0"/>
          <w:numId w:val="10"/>
        </w:numPr>
        <w:rPr>
          <w:i/>
          <w:iCs/>
        </w:rPr>
      </w:pPr>
      <w:r w:rsidRPr="00744280">
        <w:rPr>
          <w:i/>
          <w:iCs/>
        </w:rPr>
        <w:t xml:space="preserve">Avoir pris connaissance et accepter le règlement intérieur du </w:t>
      </w:r>
      <w:r w:rsidR="00005A08" w:rsidRPr="00744280">
        <w:rPr>
          <w:i/>
          <w:iCs/>
        </w:rPr>
        <w:t>CDPI</w:t>
      </w:r>
      <w:r w:rsidRPr="00744280">
        <w:rPr>
          <w:i/>
          <w:iCs/>
        </w:rPr>
        <w:t>.</w:t>
      </w:r>
    </w:p>
    <w:p w14:paraId="07389EA4" w14:textId="54C2AFA6" w:rsidR="00262A13" w:rsidRPr="00262A13" w:rsidRDefault="00262A13">
      <w:pPr>
        <w:pStyle w:val="Paragraphedeliste"/>
        <w:numPr>
          <w:ilvl w:val="0"/>
          <w:numId w:val="10"/>
        </w:numPr>
      </w:pPr>
      <w:r>
        <w:t>Avoir bénéficier d’une formation initiale en adéquation avec la mission de mon/mes poste(s) et m’engage à suivre une formation continue si nécessaire.</w:t>
      </w:r>
    </w:p>
    <w:p w14:paraId="689EDB1C" w14:textId="77777777" w:rsidR="00EC0D7D" w:rsidRPr="00744280" w:rsidRDefault="00EC0D7D" w:rsidP="00EC0D7D"/>
    <w:p w14:paraId="31489D69" w14:textId="77777777" w:rsidR="00EC0D7D" w:rsidRPr="00744280" w:rsidRDefault="00EC0D7D" w:rsidP="00EC0D7D"/>
    <w:p w14:paraId="49CB8F9F" w14:textId="77777777" w:rsidR="00EC0D7D" w:rsidRPr="00744280" w:rsidRDefault="00EC0D7D" w:rsidP="00EC0D7D"/>
    <w:p w14:paraId="2151B5BC" w14:textId="77777777" w:rsidR="00EC0D7D" w:rsidRPr="00744280" w:rsidRDefault="00EC0D7D" w:rsidP="00EC0D7D">
      <w:r w:rsidRPr="00744280">
        <w:t>Fait à            ………………</w:t>
      </w:r>
      <w:proofErr w:type="gramStart"/>
      <w:r w:rsidRPr="00744280">
        <w:t>… ,</w:t>
      </w:r>
      <w:proofErr w:type="gramEnd"/>
      <w:r w:rsidRPr="00744280">
        <w:t xml:space="preserve"> le ……………………….</w:t>
      </w:r>
    </w:p>
    <w:p w14:paraId="56B5A125" w14:textId="77777777" w:rsidR="00EC0D7D" w:rsidRPr="00744280" w:rsidRDefault="00EC0D7D" w:rsidP="00EC0D7D"/>
    <w:p w14:paraId="10F3FCF5" w14:textId="77777777" w:rsidR="00EC0D7D" w:rsidRPr="00744280" w:rsidRDefault="00EC0D7D" w:rsidP="00EC0D7D"/>
    <w:p w14:paraId="7B3C07C9" w14:textId="77777777" w:rsidR="00EC0D7D" w:rsidRPr="00744280" w:rsidRDefault="00EC0D7D" w:rsidP="00EC0D7D"/>
    <w:p w14:paraId="4903A07B" w14:textId="77777777" w:rsidR="00EC0D7D" w:rsidRPr="00744280" w:rsidRDefault="00EC0D7D" w:rsidP="00EC0D7D">
      <w:r w:rsidRPr="00744280">
        <w:t>Signature</w:t>
      </w:r>
    </w:p>
    <w:p w14:paraId="2B306F45" w14:textId="77777777" w:rsidR="00EC0D7D" w:rsidRPr="00744280" w:rsidRDefault="00EC0D7D" w:rsidP="00EC0D7D"/>
    <w:p w14:paraId="746D47E8" w14:textId="34332358" w:rsidR="00AE3993" w:rsidRDefault="00AE3993" w:rsidP="00EC0D7D">
      <w:pPr>
        <w:rPr>
          <w:b/>
          <w:bCs/>
          <w:strike/>
          <w:color w:val="002060"/>
          <w:highlight w:val="yellow"/>
        </w:rPr>
      </w:pPr>
    </w:p>
    <w:p w14:paraId="28DFC35B" w14:textId="2B56527A" w:rsidR="00357D45" w:rsidRDefault="00357D45" w:rsidP="00EC0D7D">
      <w:pPr>
        <w:rPr>
          <w:b/>
          <w:bCs/>
          <w:strike/>
          <w:color w:val="002060"/>
          <w:highlight w:val="yellow"/>
        </w:rPr>
      </w:pPr>
    </w:p>
    <w:p w14:paraId="29A6D2AF" w14:textId="7FED5E89" w:rsidR="00357D45" w:rsidRDefault="00357D45" w:rsidP="00EC0D7D">
      <w:pPr>
        <w:rPr>
          <w:b/>
          <w:bCs/>
          <w:strike/>
          <w:color w:val="002060"/>
          <w:highlight w:val="yellow"/>
        </w:rPr>
      </w:pPr>
    </w:p>
    <w:p w14:paraId="50509B3D" w14:textId="3F605B89" w:rsidR="00357D45" w:rsidRDefault="00357D45" w:rsidP="00EC0D7D">
      <w:pPr>
        <w:rPr>
          <w:b/>
          <w:bCs/>
          <w:strike/>
          <w:color w:val="002060"/>
          <w:highlight w:val="yellow"/>
        </w:rPr>
      </w:pPr>
    </w:p>
    <w:p w14:paraId="6EA47195" w14:textId="35A640AA" w:rsidR="00357D45" w:rsidRDefault="00357D45" w:rsidP="00EC0D7D">
      <w:pPr>
        <w:rPr>
          <w:b/>
          <w:bCs/>
          <w:strike/>
          <w:color w:val="002060"/>
          <w:highlight w:val="yellow"/>
        </w:rPr>
      </w:pPr>
    </w:p>
    <w:p w14:paraId="460B8403" w14:textId="42D44127" w:rsidR="00357D45" w:rsidRDefault="00357D45" w:rsidP="00EC0D7D">
      <w:pPr>
        <w:rPr>
          <w:b/>
          <w:bCs/>
          <w:strike/>
          <w:color w:val="002060"/>
          <w:highlight w:val="yellow"/>
        </w:rPr>
      </w:pPr>
    </w:p>
    <w:p w14:paraId="63D45BBE" w14:textId="64D07B69" w:rsidR="00357D45" w:rsidRDefault="00357D45" w:rsidP="00EC0D7D">
      <w:pPr>
        <w:rPr>
          <w:b/>
          <w:bCs/>
          <w:strike/>
          <w:color w:val="002060"/>
          <w:highlight w:val="yellow"/>
        </w:rPr>
      </w:pPr>
    </w:p>
    <w:p w14:paraId="2D1B60DC" w14:textId="0E5F991D" w:rsidR="00357D45" w:rsidRDefault="00357D45" w:rsidP="00EC0D7D">
      <w:pPr>
        <w:rPr>
          <w:b/>
          <w:bCs/>
          <w:strike/>
          <w:color w:val="002060"/>
          <w:highlight w:val="yellow"/>
        </w:rPr>
      </w:pPr>
    </w:p>
    <w:p w14:paraId="0481A210" w14:textId="7C32FFF3" w:rsidR="00357D45" w:rsidRDefault="00357D45" w:rsidP="00EC0D7D">
      <w:pPr>
        <w:rPr>
          <w:b/>
          <w:bCs/>
          <w:strike/>
          <w:color w:val="002060"/>
          <w:highlight w:val="yellow"/>
        </w:rPr>
      </w:pPr>
    </w:p>
    <w:p w14:paraId="4B91F9B3" w14:textId="3A251B93" w:rsidR="00357D45" w:rsidRDefault="00357D45" w:rsidP="00EC0D7D">
      <w:pPr>
        <w:rPr>
          <w:b/>
          <w:bCs/>
          <w:strike/>
          <w:color w:val="002060"/>
          <w:highlight w:val="yellow"/>
        </w:rPr>
      </w:pPr>
    </w:p>
    <w:p w14:paraId="3C9F9E2F" w14:textId="52844B5D" w:rsidR="00357D45" w:rsidRDefault="00357D45" w:rsidP="00EC0D7D">
      <w:pPr>
        <w:rPr>
          <w:b/>
          <w:bCs/>
          <w:strike/>
          <w:color w:val="002060"/>
          <w:highlight w:val="yellow"/>
        </w:rPr>
      </w:pPr>
    </w:p>
    <w:p w14:paraId="384C03E8" w14:textId="573E9BF1" w:rsidR="00357D45" w:rsidRDefault="00357D45" w:rsidP="00EC0D7D">
      <w:pPr>
        <w:rPr>
          <w:b/>
          <w:bCs/>
          <w:strike/>
          <w:color w:val="002060"/>
          <w:highlight w:val="yellow"/>
        </w:rPr>
      </w:pPr>
    </w:p>
    <w:p w14:paraId="17F16364" w14:textId="227EA9F4" w:rsidR="00357D45" w:rsidRDefault="00357D45" w:rsidP="00EC0D7D">
      <w:pPr>
        <w:rPr>
          <w:b/>
          <w:bCs/>
          <w:strike/>
          <w:color w:val="002060"/>
          <w:highlight w:val="yellow"/>
        </w:rPr>
      </w:pPr>
    </w:p>
    <w:p w14:paraId="704AB913" w14:textId="7DAAFA05" w:rsidR="00357D45" w:rsidRDefault="00357D45" w:rsidP="00EC0D7D">
      <w:pPr>
        <w:rPr>
          <w:b/>
          <w:bCs/>
          <w:strike/>
          <w:color w:val="002060"/>
          <w:highlight w:val="yellow"/>
        </w:rPr>
      </w:pPr>
    </w:p>
    <w:p w14:paraId="23469637" w14:textId="65FD9452" w:rsidR="00357D45" w:rsidRDefault="00357D45" w:rsidP="00EC0D7D">
      <w:pPr>
        <w:rPr>
          <w:b/>
          <w:bCs/>
          <w:strike/>
          <w:color w:val="002060"/>
          <w:highlight w:val="yellow"/>
        </w:rPr>
      </w:pPr>
    </w:p>
    <w:p w14:paraId="4C2FED8C" w14:textId="65B8F2F1" w:rsidR="00357D45" w:rsidRDefault="00357D45" w:rsidP="00EC0D7D">
      <w:pPr>
        <w:rPr>
          <w:b/>
          <w:bCs/>
          <w:strike/>
          <w:color w:val="002060"/>
          <w:highlight w:val="yellow"/>
        </w:rPr>
      </w:pPr>
    </w:p>
    <w:p w14:paraId="034CF4A7" w14:textId="3A5249C4" w:rsidR="00357D45" w:rsidRDefault="00357D45" w:rsidP="00EC0D7D">
      <w:pPr>
        <w:rPr>
          <w:b/>
          <w:bCs/>
          <w:strike/>
          <w:color w:val="002060"/>
          <w:highlight w:val="yellow"/>
        </w:rPr>
      </w:pPr>
    </w:p>
    <w:p w14:paraId="01E4A64C" w14:textId="3BCC5DAB" w:rsidR="00357D45" w:rsidRDefault="00357D45" w:rsidP="00EC0D7D">
      <w:pPr>
        <w:rPr>
          <w:b/>
          <w:bCs/>
          <w:strike/>
          <w:color w:val="002060"/>
          <w:highlight w:val="yellow"/>
        </w:rPr>
      </w:pPr>
    </w:p>
    <w:p w14:paraId="2A323B79" w14:textId="64204CF9" w:rsidR="00357D45" w:rsidRDefault="00357D45" w:rsidP="00EC0D7D">
      <w:pPr>
        <w:rPr>
          <w:b/>
          <w:bCs/>
          <w:strike/>
          <w:color w:val="002060"/>
          <w:highlight w:val="yellow"/>
        </w:rPr>
      </w:pPr>
    </w:p>
    <w:p w14:paraId="4635D941" w14:textId="1ADC6290" w:rsidR="00357D45" w:rsidRDefault="00357D45" w:rsidP="00EC0D7D">
      <w:pPr>
        <w:rPr>
          <w:b/>
          <w:bCs/>
          <w:strike/>
          <w:color w:val="002060"/>
          <w:highlight w:val="yellow"/>
        </w:rPr>
      </w:pPr>
    </w:p>
    <w:p w14:paraId="13BE00E3" w14:textId="7B34BE62" w:rsidR="00357D45" w:rsidRDefault="00357D45" w:rsidP="00EC0D7D">
      <w:pPr>
        <w:rPr>
          <w:b/>
          <w:bCs/>
          <w:strike/>
          <w:color w:val="002060"/>
          <w:highlight w:val="yellow"/>
        </w:rPr>
      </w:pPr>
    </w:p>
    <w:p w14:paraId="31789F1A" w14:textId="7B7C78B1" w:rsidR="00357D45" w:rsidRDefault="00357D45" w:rsidP="00EC0D7D">
      <w:pPr>
        <w:rPr>
          <w:b/>
          <w:bCs/>
          <w:strike/>
          <w:color w:val="002060"/>
          <w:highlight w:val="yellow"/>
        </w:rPr>
      </w:pPr>
    </w:p>
    <w:p w14:paraId="712F0CBE" w14:textId="77777777" w:rsidR="00357D45" w:rsidRDefault="00357D45" w:rsidP="00EC0D7D">
      <w:pPr>
        <w:rPr>
          <w:b/>
          <w:bCs/>
          <w:strike/>
          <w:color w:val="002060"/>
          <w:highlight w:val="yellow"/>
        </w:rPr>
      </w:pPr>
    </w:p>
    <w:p w14:paraId="5DFD02EA" w14:textId="77777777" w:rsidR="00AE3993" w:rsidRPr="00041678" w:rsidRDefault="00AE3993" w:rsidP="00EC0D7D">
      <w:pPr>
        <w:rPr>
          <w:b/>
          <w:bCs/>
          <w:color w:val="002060"/>
        </w:rPr>
      </w:pPr>
    </w:p>
    <w:p w14:paraId="7C2962B5" w14:textId="090FA5AF" w:rsidR="00EC0D7D" w:rsidRPr="00041678" w:rsidRDefault="00AE3993" w:rsidP="00EC0D7D">
      <w:pPr>
        <w:rPr>
          <w:b/>
          <w:bCs/>
          <w:color w:val="002060"/>
        </w:rPr>
      </w:pPr>
      <w:r w:rsidRPr="00041678">
        <w:rPr>
          <w:b/>
          <w:bCs/>
          <w:color w:val="002060"/>
        </w:rPr>
        <w:lastRenderedPageBreak/>
        <w:t>Annexe 4</w:t>
      </w:r>
      <w:r w:rsidR="00CD2598">
        <w:rPr>
          <w:b/>
          <w:bCs/>
          <w:color w:val="002060"/>
        </w:rPr>
        <w:t xml:space="preserve"> </w:t>
      </w:r>
      <w:r w:rsidR="00CD2598" w:rsidRPr="00317E27">
        <w:rPr>
          <w:b/>
          <w:bCs/>
          <w:color w:val="002060"/>
        </w:rPr>
        <w:t xml:space="preserve">- </w:t>
      </w:r>
      <w:r w:rsidRPr="00041678">
        <w:rPr>
          <w:b/>
          <w:bCs/>
          <w:color w:val="002060"/>
        </w:rPr>
        <w:t>Organigramme du CDPI</w:t>
      </w:r>
    </w:p>
    <w:p w14:paraId="42CE1A12" w14:textId="77777777" w:rsidR="00041678" w:rsidRPr="00041678" w:rsidRDefault="00041678" w:rsidP="00EC0D7D">
      <w:pPr>
        <w:rPr>
          <w:b/>
          <w:bCs/>
          <w:color w:val="002060"/>
        </w:rPr>
      </w:pPr>
    </w:p>
    <w:p w14:paraId="2AFA74B1" w14:textId="461C7B1E" w:rsidR="001832B8" w:rsidRPr="00A14BF9" w:rsidRDefault="00AE3993" w:rsidP="00606FB1">
      <w:pPr>
        <w:rPr>
          <w:b/>
          <w:bCs/>
          <w:color w:val="002060"/>
        </w:rPr>
      </w:pPr>
      <w:r w:rsidRPr="00041678">
        <w:rPr>
          <w:b/>
          <w:bCs/>
          <w:color w:val="002060"/>
        </w:rPr>
        <w:t>Annexe 5</w:t>
      </w:r>
      <w:r w:rsidR="005F06E9">
        <w:rPr>
          <w:b/>
          <w:bCs/>
          <w:color w:val="002060"/>
        </w:rPr>
        <w:t> </w:t>
      </w:r>
      <w:r w:rsidR="00CD2598" w:rsidRPr="00317E27">
        <w:rPr>
          <w:b/>
          <w:bCs/>
          <w:color w:val="002060"/>
        </w:rPr>
        <w:t xml:space="preserve">- </w:t>
      </w:r>
      <w:r w:rsidR="005F06E9">
        <w:rPr>
          <w:b/>
          <w:bCs/>
          <w:color w:val="002060"/>
        </w:rPr>
        <w:t>Liste des convention</w:t>
      </w:r>
      <w:r w:rsidR="0044366E">
        <w:rPr>
          <w:b/>
          <w:bCs/>
          <w:color w:val="002060"/>
        </w:rPr>
        <w:t>s</w:t>
      </w:r>
      <w:r w:rsidR="005F06E9">
        <w:rPr>
          <w:b/>
          <w:bCs/>
          <w:color w:val="002060"/>
        </w:rPr>
        <w:t xml:space="preserve"> </w:t>
      </w:r>
      <w:r w:rsidR="001832B8">
        <w:rPr>
          <w:b/>
          <w:bCs/>
          <w:color w:val="002060"/>
        </w:rPr>
        <w:t xml:space="preserve">entre CDPI et </w:t>
      </w:r>
      <w:r w:rsidR="001832B8" w:rsidRPr="00F5008E">
        <w:rPr>
          <w:b/>
          <w:bCs/>
          <w:color w:val="002060"/>
        </w:rPr>
        <w:t>structures associées</w:t>
      </w:r>
    </w:p>
    <w:p w14:paraId="423DBB32" w14:textId="77777777" w:rsidR="00832521" w:rsidRPr="00A35F14" w:rsidRDefault="00832521" w:rsidP="00606FB1">
      <w:pPr>
        <w:rPr>
          <w:b/>
          <w:bCs/>
          <w:strike/>
          <w:color w:val="002060"/>
        </w:rPr>
      </w:pPr>
    </w:p>
    <w:p w14:paraId="425F135A" w14:textId="6E68B6A2" w:rsidR="0057354E" w:rsidRPr="00C7692E" w:rsidRDefault="0057354E" w:rsidP="0057354E">
      <w:pPr>
        <w:jc w:val="left"/>
        <w:rPr>
          <w:b/>
          <w:bCs/>
          <w:color w:val="002060"/>
        </w:rPr>
      </w:pPr>
      <w:r w:rsidRPr="00C7692E">
        <w:rPr>
          <w:b/>
          <w:bCs/>
          <w:color w:val="002060"/>
        </w:rPr>
        <w:t xml:space="preserve">Annexe </w:t>
      </w:r>
      <w:r w:rsidR="00AE3993">
        <w:rPr>
          <w:b/>
          <w:bCs/>
          <w:color w:val="002060"/>
        </w:rPr>
        <w:t>6</w:t>
      </w:r>
      <w:r w:rsidRPr="00C7692E">
        <w:rPr>
          <w:b/>
          <w:bCs/>
          <w:color w:val="002060"/>
        </w:rPr>
        <w:t>a</w:t>
      </w:r>
      <w:r w:rsidR="005F06E9">
        <w:rPr>
          <w:b/>
          <w:bCs/>
          <w:color w:val="002060"/>
        </w:rPr>
        <w:t> </w:t>
      </w:r>
      <w:r w:rsidR="00CD2598" w:rsidRPr="00317E27">
        <w:rPr>
          <w:b/>
          <w:bCs/>
          <w:color w:val="002060"/>
        </w:rPr>
        <w:t xml:space="preserve">- </w:t>
      </w:r>
      <w:r w:rsidRPr="00C7692E">
        <w:rPr>
          <w:b/>
          <w:bCs/>
          <w:color w:val="002060"/>
        </w:rPr>
        <w:t>Modèle</w:t>
      </w:r>
      <w:r w:rsidR="00C21BF0" w:rsidRPr="00C7692E">
        <w:rPr>
          <w:b/>
          <w:bCs/>
          <w:color w:val="002060"/>
        </w:rPr>
        <w:t xml:space="preserve"> </w:t>
      </w:r>
      <w:r w:rsidR="00BA6634" w:rsidRPr="00C7692E">
        <w:rPr>
          <w:b/>
          <w:bCs/>
          <w:color w:val="002060"/>
        </w:rPr>
        <w:t xml:space="preserve">de </w:t>
      </w:r>
      <w:r w:rsidR="00C21BF0" w:rsidRPr="00C7692E">
        <w:rPr>
          <w:b/>
          <w:bCs/>
          <w:color w:val="002060"/>
        </w:rPr>
        <w:t>demande et</w:t>
      </w:r>
      <w:r w:rsidRPr="00C7692E">
        <w:rPr>
          <w:b/>
          <w:bCs/>
          <w:color w:val="002060"/>
        </w:rPr>
        <w:t xml:space="preserve"> de consentement à la présentation d’un dossier </w:t>
      </w:r>
      <w:r w:rsidR="002A4BB3" w:rsidRPr="00C7692E">
        <w:rPr>
          <w:b/>
          <w:bCs/>
          <w:color w:val="002060"/>
        </w:rPr>
        <w:t>au</w:t>
      </w:r>
      <w:r w:rsidRPr="00C7692E">
        <w:rPr>
          <w:b/>
          <w:bCs/>
          <w:color w:val="002060"/>
        </w:rPr>
        <w:t xml:space="preserve"> </w:t>
      </w:r>
      <w:r w:rsidR="00005A08" w:rsidRPr="00C7692E">
        <w:rPr>
          <w:b/>
          <w:bCs/>
          <w:color w:val="002060"/>
        </w:rPr>
        <w:t>CDPI</w:t>
      </w:r>
      <w:r w:rsidRPr="00C7692E">
        <w:rPr>
          <w:b/>
          <w:bCs/>
          <w:color w:val="002060"/>
        </w:rPr>
        <w:t xml:space="preserve"> </w:t>
      </w:r>
    </w:p>
    <w:p w14:paraId="2FBAF7D5" w14:textId="77777777" w:rsidR="00A14BF9" w:rsidRPr="00A14BF9" w:rsidRDefault="00A14BF9" w:rsidP="00A14BF9"/>
    <w:p w14:paraId="2DFE45EF" w14:textId="6419EE3E" w:rsidR="0082789D" w:rsidRDefault="0082789D" w:rsidP="00336091">
      <w:pPr>
        <w:jc w:val="left"/>
        <w:rPr>
          <w:b/>
          <w:bCs/>
          <w:color w:val="002060"/>
        </w:rPr>
      </w:pPr>
      <w:r w:rsidRPr="00C7692E">
        <w:rPr>
          <w:b/>
          <w:bCs/>
          <w:color w:val="002060"/>
        </w:rPr>
        <w:t xml:space="preserve">Annexe </w:t>
      </w:r>
      <w:r>
        <w:rPr>
          <w:b/>
          <w:bCs/>
          <w:color w:val="002060"/>
        </w:rPr>
        <w:t>6</w:t>
      </w:r>
      <w:r w:rsidR="005F06E9">
        <w:rPr>
          <w:b/>
          <w:bCs/>
          <w:color w:val="002060"/>
        </w:rPr>
        <w:t>b </w:t>
      </w:r>
      <w:r w:rsidR="00CD2598" w:rsidRPr="00317E27">
        <w:rPr>
          <w:b/>
          <w:bCs/>
          <w:color w:val="002060"/>
        </w:rPr>
        <w:t xml:space="preserve">- </w:t>
      </w:r>
      <w:r w:rsidR="00CD2598">
        <w:rPr>
          <w:b/>
          <w:bCs/>
          <w:color w:val="002060"/>
        </w:rPr>
        <w:t>Consentement</w:t>
      </w:r>
      <w:r w:rsidRPr="0082789D">
        <w:rPr>
          <w:b/>
          <w:bCs/>
          <w:color w:val="002060"/>
        </w:rPr>
        <w:t xml:space="preserve"> du couple ou de la femme non mariée à la réalisation d’un diagnostic biologique à partir de cellules prélevées sur l’embryon </w:t>
      </w:r>
      <w:r w:rsidRPr="00CD2598">
        <w:rPr>
          <w:b/>
          <w:bCs/>
          <w:i/>
          <w:iCs/>
          <w:color w:val="002060"/>
        </w:rPr>
        <w:t>in vitro</w:t>
      </w:r>
      <w:r w:rsidRPr="0082789D">
        <w:rPr>
          <w:b/>
          <w:bCs/>
          <w:color w:val="002060"/>
        </w:rPr>
        <w:t>**</w:t>
      </w:r>
    </w:p>
    <w:p w14:paraId="6B2815A2" w14:textId="7BD2CFEC" w:rsidR="0082789D" w:rsidRDefault="0082789D" w:rsidP="00336091">
      <w:pPr>
        <w:jc w:val="left"/>
        <w:rPr>
          <w:b/>
          <w:bCs/>
          <w:color w:val="002060"/>
        </w:rPr>
      </w:pPr>
    </w:p>
    <w:p w14:paraId="77A2C504" w14:textId="33C1DF30" w:rsidR="0082789D" w:rsidRPr="00CD2598" w:rsidRDefault="0082789D" w:rsidP="00CD2598">
      <w:pPr>
        <w:shd w:val="clear" w:color="auto" w:fill="F2F2F2" w:themeFill="background1" w:themeFillShade="F2"/>
        <w:rPr>
          <w:i/>
          <w:iCs/>
        </w:rPr>
      </w:pPr>
      <w:r w:rsidRPr="00CD2598">
        <w:rPr>
          <w:i/>
          <w:iCs/>
        </w:rPr>
        <w:t>En attente de publication</w:t>
      </w:r>
      <w:r w:rsidR="00CD2598">
        <w:rPr>
          <w:i/>
          <w:iCs/>
        </w:rPr>
        <w:t xml:space="preserve"> au Journal Officiel</w:t>
      </w:r>
    </w:p>
    <w:p w14:paraId="031E7788" w14:textId="77777777" w:rsidR="0082789D" w:rsidRDefault="0082789D" w:rsidP="00336091">
      <w:pPr>
        <w:jc w:val="left"/>
      </w:pPr>
    </w:p>
    <w:p w14:paraId="6C46AEE0" w14:textId="6F19A6AF" w:rsidR="00CD2FC9" w:rsidRPr="00D915F9" w:rsidRDefault="00CD2FC9" w:rsidP="00336091">
      <w:pPr>
        <w:jc w:val="left"/>
        <w:rPr>
          <w:b/>
          <w:bCs/>
          <w:color w:val="002060"/>
        </w:rPr>
      </w:pPr>
      <w:r w:rsidRPr="00D915F9">
        <w:rPr>
          <w:b/>
          <w:bCs/>
          <w:color w:val="002060"/>
        </w:rPr>
        <w:t xml:space="preserve">Annexe </w:t>
      </w:r>
      <w:r w:rsidR="00041678">
        <w:rPr>
          <w:b/>
          <w:bCs/>
          <w:color w:val="002060"/>
        </w:rPr>
        <w:t>7</w:t>
      </w:r>
      <w:r w:rsidR="00CD2598">
        <w:rPr>
          <w:b/>
          <w:bCs/>
          <w:color w:val="002060"/>
        </w:rPr>
        <w:t xml:space="preserve"> </w:t>
      </w:r>
      <w:r w:rsidR="00CD2598" w:rsidRPr="00317E27">
        <w:rPr>
          <w:b/>
          <w:bCs/>
          <w:color w:val="002060"/>
        </w:rPr>
        <w:t>-</w:t>
      </w:r>
      <w:r w:rsidR="005F06E9">
        <w:rPr>
          <w:b/>
          <w:bCs/>
          <w:color w:val="002060"/>
        </w:rPr>
        <w:t> </w:t>
      </w:r>
      <w:r w:rsidRPr="00D915F9">
        <w:rPr>
          <w:b/>
          <w:bCs/>
          <w:color w:val="002060"/>
        </w:rPr>
        <w:t>Modèle attestation en vue d’un diagnostic préimplantatoire (DPI)**</w:t>
      </w:r>
    </w:p>
    <w:p w14:paraId="144710FB" w14:textId="056325FC" w:rsidR="00490B2B" w:rsidRPr="00D915F9" w:rsidRDefault="00490B2B" w:rsidP="00336091">
      <w:pPr>
        <w:jc w:val="left"/>
        <w:rPr>
          <w:b/>
          <w:bCs/>
          <w:color w:val="002060"/>
        </w:rPr>
      </w:pPr>
    </w:p>
    <w:p w14:paraId="405CD775" w14:textId="53B9B4E9" w:rsidR="00490B2B" w:rsidRPr="00CD2598" w:rsidRDefault="00490B2B" w:rsidP="00CD2598">
      <w:pPr>
        <w:shd w:val="clear" w:color="auto" w:fill="F2F2F2" w:themeFill="background1" w:themeFillShade="F2"/>
        <w:rPr>
          <w:i/>
          <w:iCs/>
        </w:rPr>
      </w:pPr>
      <w:r w:rsidRPr="00CD2598">
        <w:rPr>
          <w:i/>
          <w:iCs/>
        </w:rPr>
        <w:t>En attente de publication</w:t>
      </w:r>
      <w:r w:rsidR="00CD2598">
        <w:rPr>
          <w:i/>
          <w:iCs/>
        </w:rPr>
        <w:t xml:space="preserve"> Officiel</w:t>
      </w:r>
    </w:p>
    <w:p w14:paraId="34813A9E" w14:textId="77777777" w:rsidR="00F72F5D" w:rsidRPr="00D915F9" w:rsidRDefault="00F72F5D">
      <w:pPr>
        <w:jc w:val="left"/>
        <w:rPr>
          <w:highlight w:val="yellow"/>
        </w:rPr>
      </w:pPr>
    </w:p>
    <w:p w14:paraId="092376A9" w14:textId="6B2555A5" w:rsidR="000B48B1" w:rsidRPr="00D915F9" w:rsidRDefault="000B48B1" w:rsidP="000B48B1">
      <w:pPr>
        <w:jc w:val="left"/>
        <w:rPr>
          <w:b/>
          <w:bCs/>
          <w:color w:val="002060"/>
        </w:rPr>
      </w:pPr>
      <w:r w:rsidRPr="00D915F9">
        <w:rPr>
          <w:b/>
          <w:bCs/>
          <w:color w:val="002060"/>
        </w:rPr>
        <w:t xml:space="preserve">Annexe </w:t>
      </w:r>
      <w:r w:rsidR="00041678">
        <w:rPr>
          <w:b/>
          <w:bCs/>
          <w:color w:val="002060"/>
        </w:rPr>
        <w:t>8</w:t>
      </w:r>
      <w:r w:rsidR="005F06E9">
        <w:rPr>
          <w:b/>
          <w:bCs/>
          <w:color w:val="002060"/>
        </w:rPr>
        <w:t> </w:t>
      </w:r>
      <w:r w:rsidR="00CD2598" w:rsidRPr="00317E27">
        <w:rPr>
          <w:b/>
          <w:bCs/>
          <w:color w:val="002060"/>
        </w:rPr>
        <w:t xml:space="preserve">- </w:t>
      </w:r>
      <w:r w:rsidRPr="00D915F9">
        <w:rPr>
          <w:b/>
          <w:bCs/>
          <w:color w:val="002060"/>
        </w:rPr>
        <w:t>Modèle type de compte rendu de la réunion pluridisciplinaire</w:t>
      </w:r>
    </w:p>
    <w:p w14:paraId="308BF774" w14:textId="54FD49F0" w:rsidR="000B48B1" w:rsidRPr="00A35F14" w:rsidRDefault="000B48B1" w:rsidP="000B48B1">
      <w:pPr>
        <w:jc w:val="left"/>
        <w:rPr>
          <w:b/>
          <w:bCs/>
          <w:strike/>
          <w:color w:val="002060"/>
        </w:rPr>
      </w:pPr>
    </w:p>
    <w:p w14:paraId="2BED4E65" w14:textId="0F1EF299" w:rsidR="009318E9" w:rsidRPr="00F916C5" w:rsidRDefault="00F916C5" w:rsidP="00F916C5">
      <w:pPr>
        <w:shd w:val="clear" w:color="auto" w:fill="F2F2F2" w:themeFill="background1" w:themeFillShade="F2"/>
        <w:rPr>
          <w:i/>
          <w:iCs/>
        </w:rPr>
      </w:pPr>
      <w:r w:rsidRPr="00F916C5">
        <w:rPr>
          <w:i/>
          <w:iCs/>
        </w:rPr>
        <w:t>Les éléments discutés font l’objet d’un compte-rendu conservé dans le dossier médical informatisé de chaque couple ou femme non mariée.</w:t>
      </w:r>
    </w:p>
    <w:p w14:paraId="61BB71D0" w14:textId="679F4602" w:rsidR="00DC33E3" w:rsidRDefault="00DC33E3" w:rsidP="000B48B1">
      <w:pPr>
        <w:jc w:val="left"/>
        <w:rPr>
          <w:b/>
          <w:bCs/>
          <w:strike/>
          <w:color w:val="002060"/>
        </w:rPr>
      </w:pPr>
    </w:p>
    <w:p w14:paraId="3EA90A6A" w14:textId="2C6533F3" w:rsidR="00AF5627" w:rsidRDefault="00AF5627" w:rsidP="00AF5627">
      <w:pPr>
        <w:jc w:val="left"/>
        <w:rPr>
          <w:b/>
          <w:bCs/>
          <w:color w:val="002060"/>
        </w:rPr>
      </w:pPr>
      <w:r w:rsidRPr="0065748C">
        <w:rPr>
          <w:b/>
          <w:bCs/>
          <w:color w:val="002060"/>
        </w:rPr>
        <w:t>Annexe 9</w:t>
      </w:r>
      <w:r w:rsidR="00CD2598">
        <w:rPr>
          <w:b/>
          <w:bCs/>
          <w:color w:val="002060"/>
        </w:rPr>
        <w:t xml:space="preserve"> </w:t>
      </w:r>
      <w:r w:rsidR="00CD2598" w:rsidRPr="00317E27">
        <w:rPr>
          <w:b/>
          <w:bCs/>
          <w:color w:val="002060"/>
        </w:rPr>
        <w:t xml:space="preserve">- </w:t>
      </w:r>
      <w:r w:rsidR="00CD2598">
        <w:rPr>
          <w:b/>
          <w:bCs/>
          <w:color w:val="002060"/>
        </w:rPr>
        <w:t>O</w:t>
      </w:r>
      <w:r w:rsidR="00CD2598" w:rsidRPr="00CD2598">
        <w:rPr>
          <w:b/>
          <w:bCs/>
          <w:color w:val="002060"/>
        </w:rPr>
        <w:t xml:space="preserve">rganisation des différentes étapes du </w:t>
      </w:r>
      <w:r w:rsidR="00CD2598">
        <w:rPr>
          <w:b/>
          <w:bCs/>
          <w:color w:val="002060"/>
        </w:rPr>
        <w:t>DPI</w:t>
      </w:r>
      <w:r w:rsidR="00CD2598" w:rsidRPr="00CD2598">
        <w:rPr>
          <w:b/>
          <w:bCs/>
          <w:color w:val="002060"/>
        </w:rPr>
        <w:t xml:space="preserve"> et parcours patient </w:t>
      </w:r>
    </w:p>
    <w:p w14:paraId="4186B9A9" w14:textId="688D4DB3" w:rsidR="00CD2598" w:rsidRDefault="00CD2598" w:rsidP="00AF5627">
      <w:pPr>
        <w:jc w:val="left"/>
        <w:rPr>
          <w:b/>
          <w:bCs/>
          <w:color w:val="002060"/>
        </w:rPr>
      </w:pPr>
    </w:p>
    <w:p w14:paraId="0FEACCE8" w14:textId="7E96DEA6" w:rsidR="00CD2598" w:rsidRPr="00CD2598" w:rsidRDefault="00CD2598" w:rsidP="00CD2598">
      <w:pPr>
        <w:shd w:val="clear" w:color="auto" w:fill="F2F2F2" w:themeFill="background1" w:themeFillShade="F2"/>
        <w:rPr>
          <w:i/>
          <w:iCs/>
        </w:rPr>
      </w:pPr>
      <w:r w:rsidRPr="00CD2598">
        <w:rPr>
          <w:i/>
          <w:iCs/>
        </w:rPr>
        <w:t>A adapter au CDPI</w:t>
      </w:r>
    </w:p>
    <w:p w14:paraId="53DAB833" w14:textId="77777777" w:rsidR="00ED22EE" w:rsidRDefault="00ED22EE" w:rsidP="00ED22EE"/>
    <w:p w14:paraId="47B46B41" w14:textId="6F420C31" w:rsidR="00AF5627" w:rsidRPr="004B1FE3" w:rsidRDefault="00AF5627" w:rsidP="00F5008E">
      <w:pPr>
        <w:pStyle w:val="Paragraphedeliste"/>
        <w:numPr>
          <w:ilvl w:val="0"/>
          <w:numId w:val="53"/>
        </w:numPr>
      </w:pPr>
      <w:r w:rsidRPr="004B1FE3">
        <w:t>PREPARATION</w:t>
      </w:r>
    </w:p>
    <w:p w14:paraId="6F837494" w14:textId="77777777" w:rsidR="00AF5627" w:rsidRPr="00F5008E" w:rsidRDefault="00AF5627" w:rsidP="00AF5627"/>
    <w:p w14:paraId="211C350C" w14:textId="77777777" w:rsidR="00AF5627" w:rsidRPr="005B69FC" w:rsidRDefault="00AF5627" w:rsidP="00F5008E">
      <w:pPr>
        <w:pStyle w:val="Paragraphedeliste"/>
        <w:numPr>
          <w:ilvl w:val="0"/>
          <w:numId w:val="54"/>
        </w:numPr>
      </w:pPr>
      <w:r w:rsidRPr="005B69FC">
        <w:t>Conditions d’accès au CDPI</w:t>
      </w:r>
      <w:r>
        <w:t xml:space="preserve"> : </w:t>
      </w:r>
      <w:r w:rsidRPr="0051121C">
        <w:t>accessibilité</w:t>
      </w:r>
    </w:p>
    <w:p w14:paraId="0D359604" w14:textId="77777777" w:rsidR="00AF5627" w:rsidRPr="00F5008E" w:rsidRDefault="00AF5627" w:rsidP="00AF5627">
      <w:pPr>
        <w:rPr>
          <w:sz w:val="16"/>
          <w:szCs w:val="16"/>
        </w:rPr>
      </w:pPr>
    </w:p>
    <w:p w14:paraId="1A3D073B" w14:textId="0EDB4565" w:rsidR="006C286D" w:rsidRPr="0065748C" w:rsidRDefault="006C286D" w:rsidP="006C286D">
      <w:pPr>
        <w:rPr>
          <w:sz w:val="16"/>
          <w:szCs w:val="16"/>
        </w:rPr>
      </w:pPr>
      <w:r>
        <w:rPr>
          <w:sz w:val="16"/>
          <w:szCs w:val="16"/>
        </w:rPr>
        <w:t>-</w:t>
      </w:r>
      <w:r w:rsidR="00AF5627" w:rsidRPr="00F5008E">
        <w:rPr>
          <w:sz w:val="16"/>
          <w:szCs w:val="16"/>
        </w:rPr>
        <w:t xml:space="preserve"> les horaires et le dispositif (adresse postale, mail, téléphone) permettant d’entrer en contact avec le CDPI. </w:t>
      </w:r>
    </w:p>
    <w:p w14:paraId="534CC2CA" w14:textId="66C21C73" w:rsidR="00AF5627" w:rsidRDefault="006C286D" w:rsidP="00AF5627">
      <w:pPr>
        <w:rPr>
          <w:sz w:val="16"/>
          <w:szCs w:val="16"/>
        </w:rPr>
      </w:pPr>
      <w:r>
        <w:rPr>
          <w:sz w:val="16"/>
          <w:szCs w:val="16"/>
        </w:rPr>
        <w:t xml:space="preserve">- </w:t>
      </w:r>
      <w:r w:rsidR="00AF5627" w:rsidRPr="00F5008E">
        <w:rPr>
          <w:sz w:val="16"/>
          <w:szCs w:val="16"/>
        </w:rPr>
        <w:t>sur le site internet de l’établissement</w:t>
      </w:r>
      <w:r>
        <w:rPr>
          <w:sz w:val="16"/>
          <w:szCs w:val="16"/>
        </w:rPr>
        <w:t xml:space="preserve"> : </w:t>
      </w:r>
      <w:r w:rsidR="00AF5627" w:rsidRPr="00F5008E">
        <w:rPr>
          <w:sz w:val="16"/>
          <w:szCs w:val="16"/>
        </w:rPr>
        <w:t xml:space="preserve">espace spécifique </w:t>
      </w:r>
    </w:p>
    <w:p w14:paraId="0371F415" w14:textId="7B1AC4AB" w:rsidR="006C286D" w:rsidRPr="00F5008E" w:rsidRDefault="006C286D" w:rsidP="00AF5627">
      <w:pPr>
        <w:rPr>
          <w:sz w:val="16"/>
          <w:szCs w:val="16"/>
        </w:rPr>
      </w:pPr>
      <w:r>
        <w:rPr>
          <w:sz w:val="16"/>
          <w:szCs w:val="16"/>
        </w:rPr>
        <w:t xml:space="preserve">- </w:t>
      </w:r>
      <w:r w:rsidRPr="0065748C">
        <w:rPr>
          <w:sz w:val="16"/>
          <w:szCs w:val="16"/>
        </w:rPr>
        <w:t xml:space="preserve">information </w:t>
      </w:r>
      <w:r>
        <w:rPr>
          <w:sz w:val="16"/>
          <w:szCs w:val="16"/>
        </w:rPr>
        <w:t>l</w:t>
      </w:r>
      <w:r w:rsidRPr="0065748C">
        <w:rPr>
          <w:sz w:val="16"/>
          <w:szCs w:val="16"/>
        </w:rPr>
        <w:t>argement possible auprès des professionnels et des couples ou des femmes non mariées</w:t>
      </w:r>
      <w:r>
        <w:rPr>
          <w:sz w:val="16"/>
          <w:szCs w:val="16"/>
        </w:rPr>
        <w:t xml:space="preserve"> et utilisation de la </w:t>
      </w:r>
      <w:r w:rsidRPr="0065748C">
        <w:rPr>
          <w:sz w:val="16"/>
          <w:szCs w:val="16"/>
        </w:rPr>
        <w:t>brochure élaborée par l’Agence de la biomédecine</w:t>
      </w:r>
    </w:p>
    <w:p w14:paraId="42D997B9" w14:textId="77777777" w:rsidR="00AF5627" w:rsidRPr="0065748C" w:rsidRDefault="00AF5627" w:rsidP="00AF5627">
      <w:pPr>
        <w:rPr>
          <w:i/>
          <w:iCs/>
        </w:rPr>
      </w:pPr>
    </w:p>
    <w:p w14:paraId="309E73F7" w14:textId="77777777" w:rsidR="00AF5627" w:rsidRDefault="00AF5627" w:rsidP="00F5008E">
      <w:pPr>
        <w:pStyle w:val="Paragraphedeliste"/>
        <w:numPr>
          <w:ilvl w:val="0"/>
          <w:numId w:val="54"/>
        </w:numPr>
      </w:pPr>
      <w:r w:rsidRPr="0051121C">
        <w:t>Saisine du CDPI</w:t>
      </w:r>
    </w:p>
    <w:p w14:paraId="2A3E36E6" w14:textId="77777777" w:rsidR="00ED22EE" w:rsidRPr="00C2451F" w:rsidRDefault="00ED22EE" w:rsidP="00AF5627"/>
    <w:p w14:paraId="57AF81DA" w14:textId="77777777" w:rsidR="00AF5627" w:rsidRPr="0065748C" w:rsidRDefault="00AF5627" w:rsidP="00F5008E">
      <w:pPr>
        <w:pStyle w:val="Paragraphedeliste"/>
        <w:numPr>
          <w:ilvl w:val="0"/>
          <w:numId w:val="46"/>
        </w:numPr>
      </w:pPr>
      <w:r w:rsidRPr="00F5008E">
        <w:t xml:space="preserve">La demande de diagnostic </w:t>
      </w:r>
      <w:r w:rsidRPr="0065748C">
        <w:t xml:space="preserve">préimplantatoire  </w:t>
      </w:r>
    </w:p>
    <w:p w14:paraId="031570A6" w14:textId="77777777" w:rsidR="00AF5627" w:rsidRPr="0065748C" w:rsidRDefault="00AF5627" w:rsidP="00AF5627">
      <w:pPr>
        <w:rPr>
          <w:i/>
          <w:iCs/>
        </w:rPr>
      </w:pPr>
    </w:p>
    <w:p w14:paraId="688F4BB8" w14:textId="77777777" w:rsidR="00AF5627" w:rsidRPr="00F5008E" w:rsidRDefault="00AF5627" w:rsidP="00AF5627">
      <w:pPr>
        <w:rPr>
          <w:b/>
          <w:bCs/>
          <w:i/>
          <w:iCs/>
          <w:sz w:val="16"/>
          <w:szCs w:val="16"/>
          <w:highlight w:val="yellow"/>
        </w:rPr>
      </w:pPr>
      <w:r w:rsidRPr="00F5008E">
        <w:rPr>
          <w:sz w:val="16"/>
          <w:szCs w:val="16"/>
        </w:rPr>
        <w:t xml:space="preserve">S’agissant du diagnostic d’une maladie génétique d’une particulière gravité reconnue comme incurable au moment du diagnostic, une équipe spécialisée en génétique est souvent déjà présente auprès du couple ou de la femme non mariée. Une information par ces professionnels sur les différentes options, incluant les possibilités de diagnostic prénatal ou de DPI a souvent déjà donné lieu à une réflexion de la part du couple ou de la femme non mariée. </w:t>
      </w:r>
      <w:r w:rsidRPr="00F5008E">
        <w:rPr>
          <w:b/>
          <w:bCs/>
          <w:sz w:val="16"/>
          <w:szCs w:val="16"/>
        </w:rPr>
        <w:t>La demande de DPI par le couple ou la femme non mariée a pu aussi faire l’objet d’une évaluation par le CPDPN de leur région d’origine</w:t>
      </w:r>
      <w:r w:rsidRPr="00F5008E">
        <w:rPr>
          <w:b/>
          <w:bCs/>
          <w:i/>
          <w:iCs/>
          <w:sz w:val="16"/>
          <w:szCs w:val="16"/>
        </w:rPr>
        <w:t>.</w:t>
      </w:r>
    </w:p>
    <w:p w14:paraId="5C58D39F" w14:textId="77777777" w:rsidR="00AF5627" w:rsidRPr="0065748C" w:rsidRDefault="00AF5627" w:rsidP="00AF5627">
      <w:pPr>
        <w:rPr>
          <w:i/>
          <w:iCs/>
        </w:rPr>
      </w:pPr>
    </w:p>
    <w:p w14:paraId="56BB5C51" w14:textId="77777777" w:rsidR="00AF5627" w:rsidRPr="0065748C" w:rsidRDefault="00AF5627" w:rsidP="00F5008E">
      <w:pPr>
        <w:pStyle w:val="Paragraphedeliste"/>
        <w:numPr>
          <w:ilvl w:val="0"/>
          <w:numId w:val="46"/>
        </w:numPr>
      </w:pPr>
      <w:r w:rsidRPr="0065748C">
        <w:t xml:space="preserve">La </w:t>
      </w:r>
      <w:r w:rsidRPr="00F5008E">
        <w:t>demande</w:t>
      </w:r>
      <w:r w:rsidRPr="0065748C">
        <w:t xml:space="preserve"> et la constitution du dossier</w:t>
      </w:r>
    </w:p>
    <w:p w14:paraId="6CD17C4B" w14:textId="77777777" w:rsidR="00AF5627" w:rsidRPr="0065748C" w:rsidRDefault="00AF5627" w:rsidP="00AF5627">
      <w:pPr>
        <w:rPr>
          <w:i/>
          <w:iCs/>
        </w:rPr>
      </w:pPr>
    </w:p>
    <w:p w14:paraId="3B9A4687" w14:textId="77777777" w:rsidR="00AF5627" w:rsidRPr="00F5008E" w:rsidRDefault="00AF5627" w:rsidP="00AF5627">
      <w:pPr>
        <w:rPr>
          <w:sz w:val="16"/>
          <w:szCs w:val="16"/>
        </w:rPr>
      </w:pPr>
      <w:r w:rsidRPr="00F5008E">
        <w:rPr>
          <w:sz w:val="16"/>
          <w:szCs w:val="16"/>
        </w:rPr>
        <w:t xml:space="preserve">La demande de DPI est formulée par écrit par le couple, ou la femme non mariée ou, à sa demande, par un médecin de son choix auprès d’un CDPI. Pour être ouvert le dossier initial contient au minimum : </w:t>
      </w:r>
    </w:p>
    <w:p w14:paraId="2890777F" w14:textId="77777777" w:rsidR="00AF5627" w:rsidRPr="00F5008E" w:rsidRDefault="00AF5627" w:rsidP="00AF5627">
      <w:pPr>
        <w:rPr>
          <w:sz w:val="16"/>
          <w:szCs w:val="16"/>
        </w:rPr>
      </w:pPr>
      <w:r w:rsidRPr="00F5008E">
        <w:rPr>
          <w:sz w:val="16"/>
          <w:szCs w:val="16"/>
        </w:rPr>
        <w:t xml:space="preserve">– les coordonnées administratives des 2 membres du couple ou de la femme non mariée ; </w:t>
      </w:r>
    </w:p>
    <w:p w14:paraId="4944FD6E" w14:textId="18E2AA9E" w:rsidR="00AF5627" w:rsidRPr="00F5008E" w:rsidRDefault="00AF5627" w:rsidP="00AF5627">
      <w:pPr>
        <w:rPr>
          <w:sz w:val="16"/>
          <w:szCs w:val="16"/>
        </w:rPr>
      </w:pPr>
      <w:r w:rsidRPr="00F5008E">
        <w:rPr>
          <w:sz w:val="16"/>
          <w:szCs w:val="16"/>
        </w:rPr>
        <w:t>– les coordonnées du médecin traitant, le cas échéant celles du médecin généticien, voire celles du CPDPN de la région d’origine</w:t>
      </w:r>
      <w:r w:rsidR="00ED22EE" w:rsidRPr="00F5008E">
        <w:rPr>
          <w:sz w:val="16"/>
          <w:szCs w:val="16"/>
        </w:rPr>
        <w:t> ;</w:t>
      </w:r>
    </w:p>
    <w:p w14:paraId="76BB4AEF" w14:textId="77777777" w:rsidR="00AF5627" w:rsidRPr="00F5008E" w:rsidRDefault="00AF5627" w:rsidP="00AF5627">
      <w:pPr>
        <w:rPr>
          <w:sz w:val="16"/>
          <w:szCs w:val="16"/>
        </w:rPr>
      </w:pPr>
      <w:r w:rsidRPr="00F5008E">
        <w:rPr>
          <w:sz w:val="16"/>
          <w:szCs w:val="16"/>
        </w:rPr>
        <w:t>– l’indication du diagnostic préimplantatoire. A réception de ces documents, le dossier est ouvert.</w:t>
      </w:r>
    </w:p>
    <w:p w14:paraId="0A36BB33" w14:textId="77777777" w:rsidR="00AF5627" w:rsidRPr="00F5008E" w:rsidRDefault="00AF5627" w:rsidP="00AF5627">
      <w:pPr>
        <w:rPr>
          <w:sz w:val="16"/>
          <w:szCs w:val="16"/>
        </w:rPr>
      </w:pPr>
    </w:p>
    <w:p w14:paraId="70B8371E" w14:textId="77777777" w:rsidR="00AF5627" w:rsidRPr="00F5008E" w:rsidRDefault="00AF5627" w:rsidP="00AF5627">
      <w:pPr>
        <w:rPr>
          <w:sz w:val="16"/>
          <w:szCs w:val="16"/>
        </w:rPr>
      </w:pPr>
      <w:r w:rsidRPr="00F5008E">
        <w:rPr>
          <w:sz w:val="16"/>
          <w:szCs w:val="16"/>
        </w:rPr>
        <w:t>Un échange est organisé entre le couple ou la femme non mariée ou le médecin correspondant et un professionnel du CDPI permettant au besoin de compléter les informations tant sur le plan génétique que sur le plan de l’AMP. Dans le cas d’une téléconsultation, son organisation doit être compatible avec les dispositions réglementaires en vigueur (25). Lorsqu’un CDPI n’est pas en capacité de développer une indication de DPI, il oriente le couple ou la femme non mariée vers un centre qui a déjà développé cette indication. Un courrier d’orientation est transmis au couple ou à la femme non mariée et/ou au médecin de son choix. Ce courrier précise les centres où l’indication est disponible</w:t>
      </w:r>
    </w:p>
    <w:p w14:paraId="0F5F58FE" w14:textId="77777777" w:rsidR="00AF5627" w:rsidRPr="0065748C" w:rsidRDefault="00AF5627" w:rsidP="00AF5627">
      <w:pPr>
        <w:rPr>
          <w:i/>
          <w:iCs/>
        </w:rPr>
      </w:pPr>
    </w:p>
    <w:p w14:paraId="57E5BB60" w14:textId="77777777" w:rsidR="00AF5627" w:rsidRPr="00F5008E" w:rsidRDefault="00AF5627" w:rsidP="00F5008E">
      <w:pPr>
        <w:pStyle w:val="Paragraphedeliste"/>
        <w:numPr>
          <w:ilvl w:val="0"/>
          <w:numId w:val="46"/>
        </w:numPr>
      </w:pPr>
      <w:r w:rsidRPr="00F5008E">
        <w:t xml:space="preserve">Le consentement </w:t>
      </w:r>
    </w:p>
    <w:p w14:paraId="23522712" w14:textId="77777777" w:rsidR="00AF5627" w:rsidRPr="00F5008E" w:rsidRDefault="00AF5627" w:rsidP="00AF5627">
      <w:pPr>
        <w:rPr>
          <w:sz w:val="16"/>
          <w:szCs w:val="16"/>
        </w:rPr>
      </w:pPr>
    </w:p>
    <w:p w14:paraId="21B1A52C" w14:textId="77777777" w:rsidR="00AF5627" w:rsidRPr="00F5008E" w:rsidRDefault="00AF5627" w:rsidP="00AF5627">
      <w:pPr>
        <w:rPr>
          <w:sz w:val="16"/>
          <w:szCs w:val="16"/>
        </w:rPr>
      </w:pPr>
      <w:r w:rsidRPr="00F5008E">
        <w:rPr>
          <w:sz w:val="16"/>
          <w:szCs w:val="16"/>
        </w:rPr>
        <w:t>En premier lieu, le consentement du couple ou de la femme non mariée sera recueilli en vue de la présentation du dossier de demande de DPI auprès du CPDPN.</w:t>
      </w:r>
    </w:p>
    <w:p w14:paraId="371A5556" w14:textId="77777777" w:rsidR="00AF5627" w:rsidRPr="0065748C" w:rsidRDefault="00AF5627" w:rsidP="00AF5627">
      <w:pPr>
        <w:rPr>
          <w:i/>
          <w:iCs/>
        </w:rPr>
      </w:pPr>
    </w:p>
    <w:p w14:paraId="0848A19B" w14:textId="77777777" w:rsidR="00AF5627" w:rsidRPr="00F5008E" w:rsidRDefault="00AF5627" w:rsidP="00F5008E">
      <w:pPr>
        <w:pStyle w:val="Paragraphedeliste"/>
        <w:numPr>
          <w:ilvl w:val="0"/>
          <w:numId w:val="54"/>
        </w:numPr>
      </w:pPr>
      <w:r w:rsidRPr="00F5008E">
        <w:t>Information du couple ou de la femme non mariée</w:t>
      </w:r>
    </w:p>
    <w:p w14:paraId="656C7738" w14:textId="77777777" w:rsidR="00AF5627" w:rsidRPr="0065748C" w:rsidRDefault="00AF5627" w:rsidP="00AF5627">
      <w:pPr>
        <w:rPr>
          <w:i/>
          <w:iCs/>
        </w:rPr>
      </w:pPr>
    </w:p>
    <w:p w14:paraId="0D269D3A" w14:textId="77777777" w:rsidR="00AF5627" w:rsidRPr="00F5008E" w:rsidRDefault="00AF5627" w:rsidP="00F5008E">
      <w:pPr>
        <w:pStyle w:val="Paragraphedeliste"/>
        <w:numPr>
          <w:ilvl w:val="0"/>
          <w:numId w:val="46"/>
        </w:numPr>
      </w:pPr>
      <w:r w:rsidRPr="00F5008E">
        <w:t xml:space="preserve">Information relative à l’assistance médicale à la procréation </w:t>
      </w:r>
    </w:p>
    <w:p w14:paraId="1D6A738B" w14:textId="77777777" w:rsidR="00AF5627" w:rsidRPr="0065748C" w:rsidRDefault="00AF5627" w:rsidP="00AF5627">
      <w:pPr>
        <w:rPr>
          <w:i/>
          <w:iCs/>
        </w:rPr>
      </w:pPr>
    </w:p>
    <w:p w14:paraId="17DF5B30" w14:textId="77777777" w:rsidR="00AF5627" w:rsidRPr="00F5008E" w:rsidRDefault="00AF5627" w:rsidP="00AF5627">
      <w:pPr>
        <w:rPr>
          <w:sz w:val="16"/>
          <w:szCs w:val="16"/>
        </w:rPr>
      </w:pPr>
      <w:r w:rsidRPr="00F5008E">
        <w:rPr>
          <w:sz w:val="16"/>
          <w:szCs w:val="16"/>
        </w:rPr>
        <w:t>L’information porte notamment sur :</w:t>
      </w:r>
    </w:p>
    <w:p w14:paraId="6EBA030C" w14:textId="77777777" w:rsidR="00AF5627" w:rsidRPr="00F5008E" w:rsidRDefault="00AF5627" w:rsidP="00AF5627">
      <w:pPr>
        <w:rPr>
          <w:sz w:val="16"/>
          <w:szCs w:val="16"/>
        </w:rPr>
      </w:pPr>
      <w:r w:rsidRPr="00F5008E">
        <w:rPr>
          <w:sz w:val="16"/>
          <w:szCs w:val="16"/>
        </w:rPr>
        <w:t xml:space="preserve">– la technique d’AMP y compris la biopsie embryonnaire et les taux de réussite en termes de naissance, notamment en fonction de l’âge, la pénibilité et les contraintes d’ordre organisationnel, financier, physique et/ou psychologique qu’ils peuvent entrainer, les risques de grossesses multiples et de complications obstétricales, les risques à court, moyen et long terme pour la santé des personnes qui ont recours à l’AMP, ainsi que l’état des connaissances concernant la santé des enfants nés après AMP ; </w:t>
      </w:r>
    </w:p>
    <w:p w14:paraId="7113CF8E" w14:textId="77777777" w:rsidR="00AF5627" w:rsidRPr="00F5008E" w:rsidRDefault="00AF5627" w:rsidP="00AF5627">
      <w:pPr>
        <w:rPr>
          <w:sz w:val="16"/>
          <w:szCs w:val="16"/>
        </w:rPr>
      </w:pPr>
      <w:r w:rsidRPr="00F5008E">
        <w:rPr>
          <w:sz w:val="16"/>
          <w:szCs w:val="16"/>
        </w:rPr>
        <w:t xml:space="preserve">– la prise en charge requise dans le cas d’un recours à un don de gamètes pour la mise en œuvre du DPI ; </w:t>
      </w:r>
    </w:p>
    <w:p w14:paraId="200E5F84" w14:textId="77777777" w:rsidR="00AF5627" w:rsidRPr="00F5008E" w:rsidRDefault="00AF5627" w:rsidP="00AF5627">
      <w:pPr>
        <w:rPr>
          <w:sz w:val="16"/>
          <w:szCs w:val="16"/>
        </w:rPr>
      </w:pPr>
      <w:r w:rsidRPr="00F5008E">
        <w:rPr>
          <w:sz w:val="16"/>
          <w:szCs w:val="16"/>
        </w:rPr>
        <w:t xml:space="preserve">– les examens à réaliser pour la prise en charge en AMP ; </w:t>
      </w:r>
    </w:p>
    <w:p w14:paraId="62731834" w14:textId="77777777" w:rsidR="00AF5627" w:rsidRPr="00F5008E" w:rsidRDefault="00AF5627" w:rsidP="00AF5627">
      <w:pPr>
        <w:rPr>
          <w:sz w:val="16"/>
          <w:szCs w:val="16"/>
        </w:rPr>
      </w:pPr>
      <w:r w:rsidRPr="00F5008E">
        <w:rPr>
          <w:sz w:val="16"/>
          <w:szCs w:val="16"/>
        </w:rPr>
        <w:t>– le cas échéant, le fait qu’une partie de la procédure d’AMP (stimulation) peut être réalisée en lien avec des professionnels proches du domicile du couple ou de la femme non mariée.</w:t>
      </w:r>
    </w:p>
    <w:p w14:paraId="74746724" w14:textId="77777777" w:rsidR="00AF5627" w:rsidRPr="0065748C" w:rsidRDefault="00AF5627" w:rsidP="00AF5627">
      <w:pPr>
        <w:pStyle w:val="Titre3"/>
        <w:rPr>
          <w:i/>
          <w:iCs/>
        </w:rPr>
      </w:pPr>
    </w:p>
    <w:p w14:paraId="30A5D1A1" w14:textId="77777777" w:rsidR="00AF5627" w:rsidRPr="00F5008E" w:rsidRDefault="00AF5627" w:rsidP="00F5008E">
      <w:pPr>
        <w:pStyle w:val="Paragraphedeliste"/>
        <w:numPr>
          <w:ilvl w:val="0"/>
          <w:numId w:val="46"/>
        </w:numPr>
      </w:pPr>
      <w:r w:rsidRPr="00F5008E">
        <w:t>Information relative au diagnostic génétique</w:t>
      </w:r>
    </w:p>
    <w:p w14:paraId="6467E993" w14:textId="77777777" w:rsidR="00AF5627" w:rsidRPr="0065748C" w:rsidRDefault="00AF5627" w:rsidP="00AF5627">
      <w:pPr>
        <w:pStyle w:val="Titre2"/>
        <w:rPr>
          <w:i/>
          <w:iCs/>
        </w:rPr>
      </w:pPr>
    </w:p>
    <w:p w14:paraId="01788F50" w14:textId="77777777" w:rsidR="00AF5627" w:rsidRPr="00F5008E" w:rsidRDefault="00AF5627" w:rsidP="00AF5627">
      <w:pPr>
        <w:rPr>
          <w:sz w:val="16"/>
          <w:szCs w:val="16"/>
        </w:rPr>
      </w:pPr>
      <w:r w:rsidRPr="00F5008E">
        <w:rPr>
          <w:sz w:val="16"/>
          <w:szCs w:val="16"/>
        </w:rPr>
        <w:t xml:space="preserve">L’information porte notamment sur : </w:t>
      </w:r>
    </w:p>
    <w:p w14:paraId="091E9A8D" w14:textId="77777777" w:rsidR="00AF5627" w:rsidRPr="00F5008E" w:rsidRDefault="00AF5627" w:rsidP="00AF5627">
      <w:pPr>
        <w:rPr>
          <w:sz w:val="16"/>
          <w:szCs w:val="16"/>
        </w:rPr>
      </w:pPr>
      <w:r w:rsidRPr="00F5008E">
        <w:rPr>
          <w:sz w:val="16"/>
          <w:szCs w:val="16"/>
        </w:rPr>
        <w:t xml:space="preserve">– le fait que seule la pathologie liée à l’anomalie génétique parentale susceptible d’être transmise peut-être recherchée chez l’embryon au cours des examens conduisant au diagnostic ; </w:t>
      </w:r>
    </w:p>
    <w:p w14:paraId="761BC652" w14:textId="77777777" w:rsidR="00AF5627" w:rsidRPr="00F5008E" w:rsidRDefault="00AF5627" w:rsidP="00AF5627">
      <w:pPr>
        <w:rPr>
          <w:sz w:val="16"/>
          <w:szCs w:val="16"/>
        </w:rPr>
      </w:pPr>
      <w:r w:rsidRPr="00F5008E">
        <w:rPr>
          <w:sz w:val="16"/>
          <w:szCs w:val="16"/>
        </w:rPr>
        <w:t xml:space="preserve">– le mode de transmission et le risque de récurrence de l’affection génique ou chromosomique ; </w:t>
      </w:r>
    </w:p>
    <w:p w14:paraId="22943ED9" w14:textId="77777777" w:rsidR="00AF5627" w:rsidRPr="00F5008E" w:rsidRDefault="00AF5627" w:rsidP="00AF5627">
      <w:pPr>
        <w:rPr>
          <w:sz w:val="16"/>
          <w:szCs w:val="16"/>
        </w:rPr>
      </w:pPr>
      <w:r w:rsidRPr="00F5008E">
        <w:rPr>
          <w:sz w:val="16"/>
          <w:szCs w:val="16"/>
        </w:rPr>
        <w:t xml:space="preserve">– les modalités techniques du DPI (examen de cytogénétique et/ou génétique moléculaire sur la ou les cellules embryonnaires) ; </w:t>
      </w:r>
    </w:p>
    <w:p w14:paraId="2C3BE13A" w14:textId="77777777" w:rsidR="00AF5627" w:rsidRPr="00F5008E" w:rsidRDefault="00AF5627" w:rsidP="00AF5627">
      <w:pPr>
        <w:rPr>
          <w:sz w:val="16"/>
          <w:szCs w:val="16"/>
        </w:rPr>
      </w:pPr>
      <w:r w:rsidRPr="00F5008E">
        <w:rPr>
          <w:sz w:val="16"/>
          <w:szCs w:val="16"/>
        </w:rPr>
        <w:t xml:space="preserve">– la mise au point technique préalable, les différentes phases du diagnostic génétique et les délais de réalisation ; </w:t>
      </w:r>
    </w:p>
    <w:p w14:paraId="103C321C" w14:textId="77777777" w:rsidR="00AF5627" w:rsidRPr="00F5008E" w:rsidRDefault="00AF5627" w:rsidP="00AF5627">
      <w:pPr>
        <w:rPr>
          <w:sz w:val="16"/>
          <w:szCs w:val="16"/>
        </w:rPr>
      </w:pPr>
      <w:r w:rsidRPr="00F5008E">
        <w:rPr>
          <w:sz w:val="16"/>
          <w:szCs w:val="16"/>
        </w:rPr>
        <w:t xml:space="preserve">– la nécessité éventuelle d’obtenir des prélèvements du couple ou de la femme non mariée et de leurs apparentés préalablement à la démarche pour mise au point diagnostique ; </w:t>
      </w:r>
    </w:p>
    <w:p w14:paraId="705B0CF3" w14:textId="77777777" w:rsidR="00AF5627" w:rsidRPr="00F5008E" w:rsidRDefault="00AF5627" w:rsidP="00AF5627">
      <w:pPr>
        <w:rPr>
          <w:sz w:val="16"/>
          <w:szCs w:val="16"/>
        </w:rPr>
      </w:pPr>
      <w:r w:rsidRPr="00F5008E">
        <w:rPr>
          <w:sz w:val="16"/>
          <w:szCs w:val="16"/>
        </w:rPr>
        <w:t xml:space="preserve">– le degré de fiabilité des examens réalisés et leurs limites ; </w:t>
      </w:r>
    </w:p>
    <w:p w14:paraId="700CA9A1" w14:textId="77777777" w:rsidR="00AF5627" w:rsidRPr="00F5008E" w:rsidRDefault="00AF5627" w:rsidP="00AF5627">
      <w:pPr>
        <w:rPr>
          <w:sz w:val="16"/>
          <w:szCs w:val="16"/>
        </w:rPr>
      </w:pPr>
      <w:r w:rsidRPr="00F5008E">
        <w:rPr>
          <w:sz w:val="16"/>
          <w:szCs w:val="16"/>
        </w:rPr>
        <w:t xml:space="preserve">– en cas de grossesse, des possibilités, de réaliser un diagnostic prénatal ou d’autres examens qui pourront être proposés ; </w:t>
      </w:r>
    </w:p>
    <w:p w14:paraId="30D4804C" w14:textId="77777777" w:rsidR="00AF5627" w:rsidRPr="00F5008E" w:rsidRDefault="00AF5627" w:rsidP="00AF5627">
      <w:pPr>
        <w:rPr>
          <w:sz w:val="16"/>
          <w:szCs w:val="16"/>
        </w:rPr>
      </w:pPr>
      <w:r w:rsidRPr="00F5008E">
        <w:rPr>
          <w:sz w:val="16"/>
          <w:szCs w:val="16"/>
        </w:rPr>
        <w:t>– en cas de diagnostic sur un embryon de l’anomalie ou des anomalies recherchées, les 2 membres du couple ou la femme non mariée, s’ils confirment leur intention de ne pas poursuivre leur projet parent en ce qui concerne cet embryon, de la possibilité de consentir à ce que celui-ci fasse l’objet d’une recherche dans les conditions prévues par la loi</w:t>
      </w:r>
    </w:p>
    <w:p w14:paraId="634AB25B" w14:textId="77777777" w:rsidR="00AF5627" w:rsidRPr="00F5008E" w:rsidRDefault="00AF5627" w:rsidP="00F5008E">
      <w:pPr>
        <w:rPr>
          <w:sz w:val="16"/>
          <w:szCs w:val="16"/>
        </w:rPr>
      </w:pPr>
    </w:p>
    <w:p w14:paraId="43A94997" w14:textId="77777777" w:rsidR="00AF5627" w:rsidRPr="00F5008E" w:rsidRDefault="00AF5627" w:rsidP="00AF5627">
      <w:pPr>
        <w:rPr>
          <w:sz w:val="16"/>
          <w:szCs w:val="16"/>
        </w:rPr>
      </w:pPr>
      <w:r w:rsidRPr="00F5008E">
        <w:rPr>
          <w:sz w:val="16"/>
          <w:szCs w:val="16"/>
        </w:rPr>
        <w:t>Le consentement éclairé en vue de l’examen des caractéristiques génétiques est recueilli par écrit par le professionnel qualifié en génétique en charge de l’information ; il peut s’agir d’un professionnel qualifié en génétique ou du conseiller en génétique du CDPI ou d’autres professionnels qualifiés en génétique, en charge du suivi du couple ou de la femme non mariée et le cas échéant de leur famille, notamment en cas d’éloignement géographique.</w:t>
      </w:r>
    </w:p>
    <w:p w14:paraId="5078FB59" w14:textId="77777777" w:rsidR="00AF5627" w:rsidRPr="00F5008E" w:rsidRDefault="00AF5627" w:rsidP="00AF5627">
      <w:pPr>
        <w:rPr>
          <w:sz w:val="16"/>
          <w:szCs w:val="16"/>
        </w:rPr>
      </w:pPr>
    </w:p>
    <w:p w14:paraId="4C4F68D6" w14:textId="77777777" w:rsidR="00AF5627" w:rsidRPr="0065748C" w:rsidRDefault="00AF5627" w:rsidP="00AF5627">
      <w:pPr>
        <w:pStyle w:val="Titre2"/>
        <w:rPr>
          <w:i/>
          <w:iCs/>
        </w:rPr>
      </w:pPr>
    </w:p>
    <w:p w14:paraId="1D75BBFA" w14:textId="77777777" w:rsidR="00AF5627" w:rsidRPr="00F5008E" w:rsidRDefault="00AF5627" w:rsidP="00F5008E">
      <w:pPr>
        <w:pStyle w:val="Paragraphedeliste"/>
        <w:numPr>
          <w:ilvl w:val="0"/>
          <w:numId w:val="54"/>
        </w:numPr>
      </w:pPr>
      <w:r w:rsidRPr="00F5008E">
        <w:t xml:space="preserve">Examen de la demande par le CDPI </w:t>
      </w:r>
    </w:p>
    <w:p w14:paraId="48B91E51" w14:textId="77777777" w:rsidR="00AF5627" w:rsidRPr="0065748C" w:rsidRDefault="00AF5627" w:rsidP="00AF5627">
      <w:pPr>
        <w:rPr>
          <w:i/>
          <w:iCs/>
        </w:rPr>
      </w:pPr>
    </w:p>
    <w:p w14:paraId="00CCE19F" w14:textId="77777777" w:rsidR="00AF5627" w:rsidRPr="00F5008E" w:rsidRDefault="00AF5627" w:rsidP="00F5008E">
      <w:pPr>
        <w:pStyle w:val="Paragraphedeliste"/>
        <w:numPr>
          <w:ilvl w:val="0"/>
          <w:numId w:val="46"/>
        </w:numPr>
      </w:pPr>
      <w:r w:rsidRPr="00F5008E">
        <w:t>Examen de la demande par l’équipe du CDPI</w:t>
      </w:r>
    </w:p>
    <w:p w14:paraId="4EF83C38" w14:textId="77777777" w:rsidR="00AF5627" w:rsidRPr="0065748C" w:rsidRDefault="00AF5627" w:rsidP="00AF5627">
      <w:pPr>
        <w:rPr>
          <w:i/>
          <w:iCs/>
        </w:rPr>
      </w:pPr>
    </w:p>
    <w:p w14:paraId="242B17AC" w14:textId="77777777" w:rsidR="00AF5627" w:rsidRPr="00F5008E" w:rsidRDefault="00AF5627" w:rsidP="00AF5627">
      <w:pPr>
        <w:rPr>
          <w:sz w:val="16"/>
          <w:szCs w:val="16"/>
        </w:rPr>
      </w:pPr>
      <w:r w:rsidRPr="00F5008E">
        <w:rPr>
          <w:sz w:val="16"/>
          <w:szCs w:val="16"/>
        </w:rPr>
        <w:t xml:space="preserve">Le dossier constitué par un professionnel du CDPI, est discuté au cours d’une ou plusieurs réunions de concertation pluridisciplinaire du CDPI afin de reprendre l’ensemble des éléments disponibles, faire un bilan relatif à la faisabilité en termes de génétique et d’AMP et le cas échéant, d’organiser la présentation du dossier au CPDPN. </w:t>
      </w:r>
    </w:p>
    <w:p w14:paraId="2437F2EF" w14:textId="77777777" w:rsidR="00AF5627" w:rsidRPr="00F5008E" w:rsidRDefault="00AF5627" w:rsidP="00AF5627">
      <w:pPr>
        <w:rPr>
          <w:sz w:val="16"/>
          <w:szCs w:val="16"/>
        </w:rPr>
      </w:pPr>
    </w:p>
    <w:p w14:paraId="116F7F50" w14:textId="77777777" w:rsidR="00AF5627" w:rsidRPr="00F5008E" w:rsidRDefault="00AF5627" w:rsidP="00AF5627">
      <w:pPr>
        <w:rPr>
          <w:sz w:val="16"/>
          <w:szCs w:val="16"/>
        </w:rPr>
      </w:pPr>
      <w:r w:rsidRPr="00F5008E">
        <w:rPr>
          <w:sz w:val="16"/>
          <w:szCs w:val="16"/>
        </w:rPr>
        <w:t xml:space="preserve">Sur le plan de l’AMP, l’évaluation du dossier est réalisée selon les critères cliniques et biologiques de prise en charge des couples ou des femmes non mariées définis et régulièrement revus par l’équipe d’AMP. Le cas échéant, différents facteurs tels que le bilan de la réserve ovarienne peuvent être pris en compte dans la prise en charge des couples ou des femmes non mariées afin d’apprécier les chances de succès du DPI. </w:t>
      </w:r>
    </w:p>
    <w:p w14:paraId="7D73D449" w14:textId="77777777" w:rsidR="00AF5627" w:rsidRPr="00F5008E" w:rsidRDefault="00AF5627" w:rsidP="00AF5627">
      <w:pPr>
        <w:rPr>
          <w:sz w:val="16"/>
          <w:szCs w:val="16"/>
        </w:rPr>
      </w:pPr>
    </w:p>
    <w:p w14:paraId="5FA3E583" w14:textId="77777777" w:rsidR="00AF5627" w:rsidRPr="00F5008E" w:rsidRDefault="00AF5627" w:rsidP="00AF5627">
      <w:pPr>
        <w:rPr>
          <w:sz w:val="16"/>
          <w:szCs w:val="16"/>
        </w:rPr>
      </w:pPr>
      <w:r w:rsidRPr="00F5008E">
        <w:rPr>
          <w:sz w:val="16"/>
          <w:szCs w:val="16"/>
        </w:rPr>
        <w:t>Sur le plan génétique, l’évaluation porte sur la faisabilité technique de l’analyse génétique sur prélèvement embryonnaire en fonction du diagnostic et des échantillons nécessaires pour la mise au point et la réalisation du DPI.</w:t>
      </w:r>
    </w:p>
    <w:p w14:paraId="2DA8A922" w14:textId="77777777" w:rsidR="00AF5627" w:rsidRPr="0065748C" w:rsidRDefault="00AF5627" w:rsidP="00AF5627">
      <w:pPr>
        <w:rPr>
          <w:i/>
          <w:iCs/>
        </w:rPr>
      </w:pPr>
    </w:p>
    <w:p w14:paraId="3A6D4F53" w14:textId="77777777" w:rsidR="00AF5627" w:rsidRPr="00F5008E" w:rsidRDefault="00AF5627" w:rsidP="00F5008E">
      <w:pPr>
        <w:pStyle w:val="Paragraphedeliste"/>
        <w:numPr>
          <w:ilvl w:val="0"/>
          <w:numId w:val="46"/>
        </w:numPr>
      </w:pPr>
      <w:r w:rsidRPr="00F5008E">
        <w:t>Examen de la demande par le CPDPN en vue de la délivrance de l’attestation d’indication à un DPI</w:t>
      </w:r>
    </w:p>
    <w:p w14:paraId="36BAC0D4" w14:textId="77777777" w:rsidR="00AF5627" w:rsidRPr="0065748C" w:rsidRDefault="00AF5627"/>
    <w:p w14:paraId="35845245" w14:textId="77777777" w:rsidR="00AF5627" w:rsidRPr="00F5008E" w:rsidRDefault="00AF5627" w:rsidP="00AF5627">
      <w:pPr>
        <w:rPr>
          <w:sz w:val="16"/>
          <w:szCs w:val="16"/>
        </w:rPr>
      </w:pPr>
      <w:r w:rsidRPr="00F5008E">
        <w:rPr>
          <w:sz w:val="16"/>
          <w:szCs w:val="16"/>
        </w:rPr>
        <w:t>Le dossier du couple ou de la femme non mariée est présenté par un membre du CDPI et examiné lors d’une réunion du CPDPN de l’établissement du CDPI au cours de laquelle au moins un praticien agréé du CDPI est présent. Le consentement écrit du couple ou de la femme non mariée en vue de la présentation de son dossier de demande de DPI auprès du CPDPN de l’établissement, recueilli préalablement par écrit par un des professionnels du CDPI, est joint au dossier examiné. Le cas échéant, l’avis du CPDPN local ayant examiné le dossier préalablement est également joint.</w:t>
      </w:r>
    </w:p>
    <w:p w14:paraId="3054DEF5" w14:textId="77777777" w:rsidR="00AF5627" w:rsidRPr="0065748C" w:rsidRDefault="00AF5627" w:rsidP="00AF5627">
      <w:pPr>
        <w:rPr>
          <w:i/>
          <w:iCs/>
        </w:rPr>
      </w:pPr>
    </w:p>
    <w:p w14:paraId="42FA3831" w14:textId="77777777" w:rsidR="00AF5627" w:rsidRPr="00F5008E" w:rsidRDefault="00AF5627" w:rsidP="00F5008E">
      <w:pPr>
        <w:pStyle w:val="Paragraphedeliste"/>
        <w:numPr>
          <w:ilvl w:val="0"/>
          <w:numId w:val="54"/>
        </w:numPr>
      </w:pPr>
      <w:r w:rsidRPr="00F5008E">
        <w:t xml:space="preserve">Retour d’information au couple ou à la femme non mariée </w:t>
      </w:r>
    </w:p>
    <w:p w14:paraId="144A8BD1" w14:textId="77777777" w:rsidR="00AF5627" w:rsidRPr="0065748C" w:rsidRDefault="00AF5627" w:rsidP="00F5008E"/>
    <w:p w14:paraId="0AE28681" w14:textId="77777777" w:rsidR="00AF5627" w:rsidRPr="00F5008E" w:rsidRDefault="00AF5627" w:rsidP="00AF5627">
      <w:pPr>
        <w:rPr>
          <w:sz w:val="16"/>
          <w:szCs w:val="16"/>
        </w:rPr>
      </w:pPr>
      <w:r w:rsidRPr="00F5008E">
        <w:rPr>
          <w:sz w:val="16"/>
          <w:szCs w:val="16"/>
        </w:rPr>
        <w:lastRenderedPageBreak/>
        <w:t xml:space="preserve">Le couple, ou la femme non mariée, est informé de la présentation de son dossier de demande de DPI par l’équipe du CDPI et, le cas échéant, de l’avis du CPDPN rattaché au CDPI par un médecin qualifié en génétique de ce CPDPN ou par un professionnel du CDPI. </w:t>
      </w:r>
    </w:p>
    <w:p w14:paraId="2F4EB178" w14:textId="77777777" w:rsidR="00AF5627" w:rsidRPr="00F5008E" w:rsidRDefault="00AF5627" w:rsidP="00AF5627">
      <w:pPr>
        <w:rPr>
          <w:sz w:val="16"/>
          <w:szCs w:val="16"/>
        </w:rPr>
      </w:pPr>
    </w:p>
    <w:p w14:paraId="78FB21AE" w14:textId="77777777" w:rsidR="00AF5627" w:rsidRPr="00F5008E" w:rsidRDefault="00AF5627" w:rsidP="00F5008E">
      <w:pPr>
        <w:pStyle w:val="Paragraphedeliste"/>
        <w:numPr>
          <w:ilvl w:val="0"/>
          <w:numId w:val="46"/>
        </w:numPr>
      </w:pPr>
      <w:r w:rsidRPr="00F5008E">
        <w:t>Si l’indication d’un DPI est retenue par le CPDPN du CDPI :</w:t>
      </w:r>
    </w:p>
    <w:p w14:paraId="55480F4A" w14:textId="77777777" w:rsidR="00AF5627" w:rsidRPr="0065748C" w:rsidRDefault="00AF5627" w:rsidP="00AF5627">
      <w:pPr>
        <w:rPr>
          <w:i/>
          <w:iCs/>
        </w:rPr>
      </w:pPr>
    </w:p>
    <w:p w14:paraId="487F661F" w14:textId="77777777" w:rsidR="00AF5627" w:rsidRPr="00F5008E" w:rsidRDefault="00AF5627" w:rsidP="00AF5627">
      <w:pPr>
        <w:rPr>
          <w:sz w:val="16"/>
          <w:szCs w:val="16"/>
        </w:rPr>
      </w:pPr>
      <w:r w:rsidRPr="00F5008E">
        <w:rPr>
          <w:sz w:val="16"/>
          <w:szCs w:val="16"/>
        </w:rPr>
        <w:t>Un médecin du CPDPN, titulaire du diplôme d’études spécialisées de génétique médicale ou d’un diplôme équivalent, atteste que le couple ou la femme non mariée du fait de sa situation familiale, a une forte probabilité de donner naissance à un enfant atteint d’une maladie génétique d’une particulière gravité reconnue comme incurable au moment du diagnostic ;</w:t>
      </w:r>
    </w:p>
    <w:p w14:paraId="5A7D7DBD" w14:textId="77777777" w:rsidR="00AF5627" w:rsidRPr="00F5008E" w:rsidRDefault="00AF5627" w:rsidP="00AF5627">
      <w:pPr>
        <w:rPr>
          <w:sz w:val="16"/>
          <w:szCs w:val="16"/>
        </w:rPr>
      </w:pPr>
    </w:p>
    <w:p w14:paraId="1B4DAAA2" w14:textId="77777777" w:rsidR="00AF5627" w:rsidRPr="00F5008E" w:rsidRDefault="00AF5627" w:rsidP="00AF5627">
      <w:pPr>
        <w:rPr>
          <w:sz w:val="16"/>
          <w:szCs w:val="16"/>
        </w:rPr>
      </w:pPr>
      <w:r w:rsidRPr="00F5008E">
        <w:rPr>
          <w:sz w:val="16"/>
          <w:szCs w:val="16"/>
        </w:rPr>
        <w:t>Ce médecin s’assure de la disponibilité de l’ensemble des informations médicales nécessaires en lien avec la maladie génétique faisant l’objet de la demande de DPI. Cette démarche est réalisée en concertation avec les professionnels agréés pour le diagnostic biologique sur cellules embryonnaires du centre de DPI.</w:t>
      </w:r>
    </w:p>
    <w:p w14:paraId="0D97BCB5" w14:textId="77777777" w:rsidR="00AF5627" w:rsidRPr="0065748C" w:rsidRDefault="00AF5627" w:rsidP="00AF5627">
      <w:pPr>
        <w:rPr>
          <w:i/>
          <w:iCs/>
        </w:rPr>
      </w:pPr>
    </w:p>
    <w:p w14:paraId="112F138B" w14:textId="77777777" w:rsidR="00AF5627" w:rsidRPr="00F5008E" w:rsidRDefault="00AF5627" w:rsidP="00AF5627">
      <w:pPr>
        <w:rPr>
          <w:sz w:val="16"/>
          <w:szCs w:val="16"/>
        </w:rPr>
      </w:pPr>
      <w:r w:rsidRPr="00F5008E">
        <w:rPr>
          <w:sz w:val="16"/>
          <w:szCs w:val="16"/>
        </w:rPr>
        <w:t>L’attestation est remise au couple ou à la femme non mariée lors d’une consultation. Elle comporte le nom du médecin qui a signé cette attestation et le CPDPN dans lequel il exerce. Ce médecin s’assure</w:t>
      </w:r>
      <w:r w:rsidRPr="0065748C">
        <w:rPr>
          <w:i/>
          <w:iCs/>
        </w:rPr>
        <w:t xml:space="preserve"> de la disponibilité de l’ensemble des </w:t>
      </w:r>
      <w:r w:rsidRPr="00F5008E">
        <w:rPr>
          <w:sz w:val="16"/>
          <w:szCs w:val="16"/>
        </w:rPr>
        <w:t>informations médicales nécessaires en lien avec la maladie génétique faisant l’objet de la demande de DPI. Cette démarche est réalisée en concertation avec les professionnels agréés pour le diagnostic biologique sur cellules embryonnaires du centre de DPI.</w:t>
      </w:r>
    </w:p>
    <w:p w14:paraId="5EFF1A41" w14:textId="77777777" w:rsidR="00AF5627" w:rsidRPr="0065748C" w:rsidRDefault="00AF5627" w:rsidP="00AF5627">
      <w:pPr>
        <w:rPr>
          <w:i/>
          <w:iCs/>
        </w:rPr>
      </w:pPr>
    </w:p>
    <w:p w14:paraId="7B9F101E" w14:textId="2AC7F912" w:rsidR="00AF5627" w:rsidRPr="00F5008E" w:rsidRDefault="00AF5627" w:rsidP="00F5008E">
      <w:pPr>
        <w:pStyle w:val="Paragraphedeliste"/>
        <w:numPr>
          <w:ilvl w:val="0"/>
          <w:numId w:val="46"/>
        </w:numPr>
      </w:pPr>
      <w:r w:rsidRPr="00F5008E">
        <w:t>Si l’indication d’un DPI n’est pas retenue</w:t>
      </w:r>
    </w:p>
    <w:p w14:paraId="203A4D4E" w14:textId="77777777" w:rsidR="00AF5627" w:rsidRPr="0065748C" w:rsidRDefault="00AF5627" w:rsidP="00AF5627">
      <w:pPr>
        <w:pStyle w:val="Titre3"/>
        <w:rPr>
          <w:i/>
          <w:iCs/>
        </w:rPr>
      </w:pPr>
    </w:p>
    <w:p w14:paraId="77B46D4B" w14:textId="3DD6E9A1" w:rsidR="00AF5627" w:rsidRPr="00F5008E" w:rsidRDefault="00ED22EE" w:rsidP="00AF5627">
      <w:pPr>
        <w:rPr>
          <w:sz w:val="16"/>
          <w:szCs w:val="16"/>
        </w:rPr>
      </w:pPr>
      <w:r w:rsidRPr="00F5008E">
        <w:rPr>
          <w:sz w:val="16"/>
          <w:szCs w:val="16"/>
        </w:rPr>
        <w:t>L</w:t>
      </w:r>
      <w:r w:rsidR="00AF5627" w:rsidRPr="00F5008E">
        <w:rPr>
          <w:sz w:val="16"/>
          <w:szCs w:val="16"/>
        </w:rPr>
        <w:t>e couple, ou la femme non mariée, est informé lors d’un entretien avec le généticien du CPDPN du CDPI ou avec un professionnel du CDPI. Dans tous les cas, un document écrit précisant le ou les motifs de non prise en charge dans le cadre d’un DPI est adressé au couple ou à la femme non mariée (27). Des possibilités de soutien psychologique sont présentées.</w:t>
      </w:r>
    </w:p>
    <w:p w14:paraId="5FD1CCC8" w14:textId="77777777" w:rsidR="00AF5627" w:rsidRPr="0065748C" w:rsidRDefault="00AF5627" w:rsidP="00AF5627">
      <w:pPr>
        <w:rPr>
          <w:i/>
          <w:iCs/>
        </w:rPr>
      </w:pPr>
    </w:p>
    <w:p w14:paraId="0EA9FC49" w14:textId="77777777" w:rsidR="00AF5627" w:rsidRPr="00F5008E" w:rsidRDefault="00AF5627" w:rsidP="00F5008E">
      <w:pPr>
        <w:pStyle w:val="Paragraphedeliste"/>
        <w:numPr>
          <w:ilvl w:val="0"/>
          <w:numId w:val="54"/>
        </w:numPr>
      </w:pPr>
      <w:r w:rsidRPr="00F5008E">
        <w:t>La planification du DPI et le parcours patient</w:t>
      </w:r>
    </w:p>
    <w:p w14:paraId="2A403804" w14:textId="77777777" w:rsidR="00AF5627" w:rsidRPr="0065748C" w:rsidRDefault="00AF5627" w:rsidP="00AF5627">
      <w:pPr>
        <w:rPr>
          <w:i/>
          <w:iCs/>
        </w:rPr>
      </w:pPr>
    </w:p>
    <w:p w14:paraId="7CB1AD78" w14:textId="77777777" w:rsidR="00AF5627" w:rsidRPr="00F5008E" w:rsidRDefault="00AF5627" w:rsidP="00AF5627">
      <w:pPr>
        <w:rPr>
          <w:sz w:val="16"/>
          <w:szCs w:val="16"/>
        </w:rPr>
      </w:pPr>
      <w:r w:rsidRPr="00F5008E">
        <w:rPr>
          <w:sz w:val="16"/>
          <w:szCs w:val="16"/>
        </w:rPr>
        <w:t>Les CDPI s’efforcent de mettre en œuvre les moyens permettant de limiter au maximum le délai d’attente. La mise au point technique en vue du diagnostic, nécessitant parfois des prélèvements familiaux et des analyses complexes, peut entraîner des délais supplémentaires. La mise au point est également susceptible d’échouer.</w:t>
      </w:r>
    </w:p>
    <w:p w14:paraId="4758C164" w14:textId="77777777" w:rsidR="00AF5627" w:rsidRPr="00F5008E" w:rsidRDefault="00AF5627" w:rsidP="00AF5627">
      <w:pPr>
        <w:rPr>
          <w:sz w:val="16"/>
          <w:szCs w:val="16"/>
        </w:rPr>
      </w:pPr>
    </w:p>
    <w:p w14:paraId="32FFE947" w14:textId="77777777" w:rsidR="00AF5627" w:rsidRPr="00F5008E" w:rsidRDefault="00AF5627" w:rsidP="00AF5627">
      <w:pPr>
        <w:rPr>
          <w:sz w:val="16"/>
          <w:szCs w:val="16"/>
        </w:rPr>
      </w:pPr>
      <w:r w:rsidRPr="00F5008E">
        <w:rPr>
          <w:sz w:val="16"/>
          <w:szCs w:val="16"/>
        </w:rPr>
        <w:t xml:space="preserve"> La prise en charge des couples ou des femmes non mariées en vue de DPI dans un contexte viral ou intégrant un don de gamètes peut s’accompagner de délais supplémentaires.</w:t>
      </w:r>
    </w:p>
    <w:p w14:paraId="1EA51B5E" w14:textId="77777777" w:rsidR="00AF5627" w:rsidRPr="00F5008E" w:rsidRDefault="00AF5627" w:rsidP="00AF5627">
      <w:pPr>
        <w:rPr>
          <w:sz w:val="16"/>
          <w:szCs w:val="16"/>
        </w:rPr>
      </w:pPr>
    </w:p>
    <w:p w14:paraId="3F179F12" w14:textId="77777777" w:rsidR="00AF5627" w:rsidRPr="0065748C" w:rsidRDefault="00AF5627" w:rsidP="00AF5627">
      <w:pPr>
        <w:rPr>
          <w:i/>
          <w:iCs/>
        </w:rPr>
      </w:pPr>
      <w:r w:rsidRPr="00F5008E">
        <w:rPr>
          <w:sz w:val="16"/>
          <w:szCs w:val="16"/>
        </w:rPr>
        <w:t xml:space="preserve"> Les informations relatives au délai de prise en charge sont communiquées au couple ou à la femme non mariée qui est tenu au courant de tout délai supplémentaire non prévu</w:t>
      </w:r>
      <w:r w:rsidRPr="0065748C">
        <w:rPr>
          <w:i/>
          <w:iCs/>
        </w:rPr>
        <w:t>.</w:t>
      </w:r>
    </w:p>
    <w:p w14:paraId="083E38AE" w14:textId="77777777" w:rsidR="00AF5627" w:rsidRPr="0065748C" w:rsidRDefault="00AF5627" w:rsidP="00AF5627">
      <w:pPr>
        <w:rPr>
          <w:i/>
          <w:iCs/>
        </w:rPr>
      </w:pPr>
    </w:p>
    <w:p w14:paraId="56111518" w14:textId="77777777" w:rsidR="00AF5627" w:rsidRPr="00F5008E" w:rsidRDefault="00AF5627" w:rsidP="00F5008E">
      <w:pPr>
        <w:pStyle w:val="Paragraphedeliste"/>
        <w:numPr>
          <w:ilvl w:val="0"/>
          <w:numId w:val="46"/>
        </w:numPr>
      </w:pPr>
      <w:r w:rsidRPr="00F5008E">
        <w:t>La consultation pluridisciplinaire</w:t>
      </w:r>
    </w:p>
    <w:p w14:paraId="68632829" w14:textId="77777777" w:rsidR="00AF5627" w:rsidRPr="0065748C" w:rsidRDefault="00AF5627" w:rsidP="00AF5627">
      <w:pPr>
        <w:rPr>
          <w:i/>
          <w:iCs/>
        </w:rPr>
      </w:pPr>
    </w:p>
    <w:p w14:paraId="3F08A30F" w14:textId="77777777" w:rsidR="00AF5627" w:rsidRPr="00F5008E" w:rsidRDefault="00AF5627" w:rsidP="00AF5627">
      <w:pPr>
        <w:rPr>
          <w:sz w:val="16"/>
          <w:szCs w:val="16"/>
        </w:rPr>
      </w:pPr>
      <w:r w:rsidRPr="00F5008E">
        <w:rPr>
          <w:sz w:val="16"/>
          <w:szCs w:val="16"/>
        </w:rPr>
        <w:t xml:space="preserve">Un ou des entretiens sont organisés avec différents professionnels du CDPI afin de compléter l’information et de répondre aux questions du couple ou de la femme non mariée, notamment sur : </w:t>
      </w:r>
    </w:p>
    <w:p w14:paraId="49643B15" w14:textId="77777777" w:rsidR="00AF5627" w:rsidRPr="00F5008E" w:rsidRDefault="00AF5627" w:rsidP="00AF5627">
      <w:pPr>
        <w:rPr>
          <w:sz w:val="16"/>
          <w:szCs w:val="16"/>
        </w:rPr>
      </w:pPr>
    </w:p>
    <w:p w14:paraId="253B7D28" w14:textId="77777777" w:rsidR="00AF5627" w:rsidRPr="00F5008E" w:rsidRDefault="00AF5627" w:rsidP="00AF5627">
      <w:pPr>
        <w:rPr>
          <w:sz w:val="16"/>
          <w:szCs w:val="16"/>
        </w:rPr>
      </w:pPr>
      <w:r w:rsidRPr="00F5008E">
        <w:rPr>
          <w:sz w:val="16"/>
          <w:szCs w:val="16"/>
        </w:rPr>
        <w:t xml:space="preserve">– la réactualisation des éléments du dossier médical et de l’histoire familiale du couple ou de la femme non mariée ; </w:t>
      </w:r>
    </w:p>
    <w:p w14:paraId="763D29EA" w14:textId="77777777" w:rsidR="00AF5627" w:rsidRPr="00F5008E" w:rsidRDefault="00AF5627" w:rsidP="00AF5627">
      <w:pPr>
        <w:rPr>
          <w:sz w:val="16"/>
          <w:szCs w:val="16"/>
        </w:rPr>
      </w:pPr>
      <w:r w:rsidRPr="00F5008E">
        <w:rPr>
          <w:sz w:val="16"/>
          <w:szCs w:val="16"/>
        </w:rPr>
        <w:t>– la feuille de route pour la suite de la démarche d’AMP selon les éléments du bilan préalablement réalisé ;</w:t>
      </w:r>
    </w:p>
    <w:p w14:paraId="237DF3AA" w14:textId="77777777" w:rsidR="00AF5627" w:rsidRPr="00F5008E" w:rsidRDefault="00AF5627" w:rsidP="00AF5627">
      <w:pPr>
        <w:rPr>
          <w:sz w:val="16"/>
          <w:szCs w:val="16"/>
        </w:rPr>
      </w:pPr>
      <w:r w:rsidRPr="00F5008E">
        <w:rPr>
          <w:sz w:val="16"/>
          <w:szCs w:val="16"/>
        </w:rPr>
        <w:t xml:space="preserve">– les modalités organisationnelles de prise en charge en AMP (bilans biologiques, monitorage de la stimulation ovarienne), avec éventuelle intervention d’un autre centre notamment plus proche du lieu de résidence du couple ou de la femme non mariée ; </w:t>
      </w:r>
    </w:p>
    <w:p w14:paraId="31F98BC3" w14:textId="77777777" w:rsidR="00AF5627" w:rsidRPr="00F5008E" w:rsidRDefault="00AF5627" w:rsidP="00AF5627">
      <w:pPr>
        <w:rPr>
          <w:sz w:val="16"/>
          <w:szCs w:val="16"/>
        </w:rPr>
      </w:pPr>
      <w:r w:rsidRPr="00F5008E">
        <w:rPr>
          <w:sz w:val="16"/>
          <w:szCs w:val="16"/>
        </w:rPr>
        <w:t xml:space="preserve">– l’information sur les différentes phases du diagnostic génétique qui sera effectué sur cellules embryonnaires et le degré de fiabilité de ces examens ; </w:t>
      </w:r>
    </w:p>
    <w:p w14:paraId="4D738ADC" w14:textId="77777777" w:rsidR="00AF5627" w:rsidRPr="00F5008E" w:rsidRDefault="00AF5627" w:rsidP="00AF5627">
      <w:pPr>
        <w:rPr>
          <w:sz w:val="16"/>
          <w:szCs w:val="16"/>
        </w:rPr>
      </w:pPr>
      <w:r w:rsidRPr="00F5008E">
        <w:rPr>
          <w:sz w:val="16"/>
          <w:szCs w:val="16"/>
        </w:rPr>
        <w:t>– le devenir des embryons obtenus en fonction de la qualité embryonnaire et du résultat de l’examen génétique.</w:t>
      </w:r>
    </w:p>
    <w:p w14:paraId="64A2FDA6" w14:textId="77777777" w:rsidR="00AF5627" w:rsidRPr="00F5008E" w:rsidRDefault="00AF5627" w:rsidP="00AF5627">
      <w:pPr>
        <w:rPr>
          <w:sz w:val="16"/>
          <w:szCs w:val="16"/>
        </w:rPr>
      </w:pPr>
    </w:p>
    <w:p w14:paraId="5BE9C070" w14:textId="77777777" w:rsidR="00AF5627" w:rsidRPr="00F5008E" w:rsidRDefault="00AF5627" w:rsidP="00AF5627">
      <w:pPr>
        <w:rPr>
          <w:sz w:val="16"/>
          <w:szCs w:val="16"/>
        </w:rPr>
      </w:pPr>
      <w:r w:rsidRPr="00F5008E">
        <w:rPr>
          <w:sz w:val="16"/>
          <w:szCs w:val="16"/>
        </w:rPr>
        <w:t>Les éléments du dossier du couple ou de la femme non mariée sont revus. Les analyses ou examens supplémentaires nécessaires sont organisés ou prescrits. Les consentements nécessaires à la réalisation des examens des caractéristiques génétiques d’une personne, qu’il s’agisse des membres du couple ou de la femme non mariée ou de leur famille, seront recueillis avant la réalisation des examens génétiques. Les formulaires de consentement nécessaires lors de toute démarche d’AMP sont recueillis préalablement à la réalisation des techniques d’AMP et à chaque tentative.</w:t>
      </w:r>
    </w:p>
    <w:p w14:paraId="5CDEB12C" w14:textId="77777777" w:rsidR="00AF5627" w:rsidRPr="00F5008E" w:rsidRDefault="00AF5627" w:rsidP="00AF5627">
      <w:pPr>
        <w:rPr>
          <w:sz w:val="16"/>
          <w:szCs w:val="16"/>
        </w:rPr>
      </w:pPr>
    </w:p>
    <w:p w14:paraId="663FD29A" w14:textId="77777777" w:rsidR="00AF5627" w:rsidRPr="00F5008E" w:rsidRDefault="00AF5627" w:rsidP="00AF5627">
      <w:pPr>
        <w:rPr>
          <w:sz w:val="16"/>
          <w:szCs w:val="16"/>
        </w:rPr>
      </w:pPr>
      <w:r w:rsidRPr="00F5008E">
        <w:rPr>
          <w:sz w:val="16"/>
          <w:szCs w:val="16"/>
        </w:rPr>
        <w:t xml:space="preserve">Les situations pour lesquelles des mises au point supplémentaires sont nécessaires ou des prises en charge spécifiques en AMP, incluant les prises en charge en contexte viral ou avec don de gamètes, sont discutées avec le couple ou la femme seule durant la consultation pluridisciplinaire. </w:t>
      </w:r>
    </w:p>
    <w:p w14:paraId="397F542F" w14:textId="77777777" w:rsidR="00AF5627" w:rsidRPr="00F5008E" w:rsidRDefault="00AF5627" w:rsidP="00AF5627">
      <w:pPr>
        <w:rPr>
          <w:sz w:val="16"/>
          <w:szCs w:val="16"/>
        </w:rPr>
      </w:pPr>
    </w:p>
    <w:p w14:paraId="64CD5AAD" w14:textId="77777777" w:rsidR="00AF5627" w:rsidRPr="00F5008E" w:rsidRDefault="00AF5627" w:rsidP="00AF5627">
      <w:pPr>
        <w:rPr>
          <w:sz w:val="16"/>
          <w:szCs w:val="16"/>
        </w:rPr>
      </w:pPr>
      <w:r w:rsidRPr="00F5008E">
        <w:rPr>
          <w:sz w:val="16"/>
          <w:szCs w:val="16"/>
        </w:rPr>
        <w:t xml:space="preserve">La consultation pluridisciplinaire permet de discuter des différentes étapes de la tentative et d’estimer les délais d’attente du couple ou de la femme non mariée jusqu’à la tentative. </w:t>
      </w:r>
    </w:p>
    <w:p w14:paraId="351C8341" w14:textId="77777777" w:rsidR="00AF5627" w:rsidRPr="00F5008E" w:rsidRDefault="00AF5627" w:rsidP="00AF5627">
      <w:pPr>
        <w:rPr>
          <w:sz w:val="16"/>
          <w:szCs w:val="16"/>
        </w:rPr>
      </w:pPr>
    </w:p>
    <w:p w14:paraId="21E41760" w14:textId="77777777" w:rsidR="00AF5627" w:rsidRPr="00F5008E" w:rsidRDefault="00AF5627" w:rsidP="00AF5627">
      <w:pPr>
        <w:rPr>
          <w:sz w:val="16"/>
          <w:szCs w:val="16"/>
        </w:rPr>
      </w:pPr>
      <w:r w:rsidRPr="00F5008E">
        <w:rPr>
          <w:sz w:val="16"/>
          <w:szCs w:val="16"/>
        </w:rPr>
        <w:t>Un courrier de synthèse est transmis au couple ou à la femme non mariée à l’issue de la consultation pluridisciplinaire.</w:t>
      </w:r>
    </w:p>
    <w:p w14:paraId="466191A5" w14:textId="77777777" w:rsidR="00AF5627" w:rsidRPr="0065748C" w:rsidRDefault="00AF5627" w:rsidP="00AF5627">
      <w:pPr>
        <w:rPr>
          <w:i/>
          <w:iCs/>
        </w:rPr>
      </w:pPr>
    </w:p>
    <w:p w14:paraId="281D43A1" w14:textId="77777777" w:rsidR="00AF5627" w:rsidRPr="0065748C" w:rsidRDefault="00AF5627" w:rsidP="00AF5627">
      <w:pPr>
        <w:rPr>
          <w:i/>
          <w:iCs/>
        </w:rPr>
      </w:pPr>
    </w:p>
    <w:p w14:paraId="05B8456B" w14:textId="77777777" w:rsidR="00AF5627" w:rsidRPr="00F5008E" w:rsidRDefault="00AF5627" w:rsidP="00F5008E">
      <w:pPr>
        <w:pStyle w:val="Paragraphedeliste"/>
        <w:numPr>
          <w:ilvl w:val="0"/>
          <w:numId w:val="46"/>
        </w:numPr>
      </w:pPr>
      <w:r w:rsidRPr="00F5008E">
        <w:lastRenderedPageBreak/>
        <w:t>Le consentement du couple ou de la femme non mariée au DPI</w:t>
      </w:r>
    </w:p>
    <w:p w14:paraId="094BC9C1" w14:textId="77777777" w:rsidR="00AF5627" w:rsidRPr="0065748C" w:rsidRDefault="00AF5627" w:rsidP="00AF5627">
      <w:pPr>
        <w:rPr>
          <w:i/>
          <w:iCs/>
        </w:rPr>
      </w:pPr>
    </w:p>
    <w:p w14:paraId="3B87A736" w14:textId="77777777" w:rsidR="00AF5627" w:rsidRPr="00F5008E" w:rsidRDefault="00AF5627" w:rsidP="00AF5627">
      <w:pPr>
        <w:rPr>
          <w:sz w:val="16"/>
          <w:szCs w:val="16"/>
        </w:rPr>
      </w:pPr>
      <w:r w:rsidRPr="00F5008E">
        <w:rPr>
          <w:sz w:val="16"/>
          <w:szCs w:val="16"/>
        </w:rPr>
        <w:t xml:space="preserve">Préalablement à la réalisation du DPI, une information sur le délai d’obtention des résultats des examens génétiques est fournie. </w:t>
      </w:r>
    </w:p>
    <w:p w14:paraId="5E26A200" w14:textId="77777777" w:rsidR="00AF5627" w:rsidRPr="00F5008E" w:rsidRDefault="00AF5627" w:rsidP="00AF5627">
      <w:pPr>
        <w:rPr>
          <w:sz w:val="16"/>
          <w:szCs w:val="16"/>
        </w:rPr>
      </w:pPr>
    </w:p>
    <w:p w14:paraId="0B21BC9C" w14:textId="77777777" w:rsidR="00AF5627" w:rsidRPr="00F5008E" w:rsidRDefault="00AF5627" w:rsidP="00AF5627">
      <w:pPr>
        <w:rPr>
          <w:sz w:val="16"/>
          <w:szCs w:val="16"/>
        </w:rPr>
      </w:pPr>
      <w:r w:rsidRPr="00F5008E">
        <w:rPr>
          <w:sz w:val="16"/>
          <w:szCs w:val="16"/>
        </w:rPr>
        <w:t xml:space="preserve">Après information du couple ou de la femme non mariée sur l’ensemble de la démarche incluant la prise en charge en AMP et les éléments tenant au diagnostic biologique sur la ou les cellules embryonnaires, le consentement du couple ou de la femme non mariée à la réalisation d’un diagnostic biologique à partir de cellules prélevées sur l’embryon in vitro est recueilli par l’un des praticiens de l’équipe médicale clinico-biologique pluridisciplinaire du CDPI en amont de la procédure d’AMP </w:t>
      </w:r>
    </w:p>
    <w:p w14:paraId="284D61A6" w14:textId="77777777" w:rsidR="00AF5627" w:rsidRPr="00F5008E" w:rsidRDefault="00AF5627" w:rsidP="00AF5627">
      <w:pPr>
        <w:rPr>
          <w:sz w:val="16"/>
          <w:szCs w:val="16"/>
        </w:rPr>
      </w:pPr>
    </w:p>
    <w:p w14:paraId="3BA7E0E4" w14:textId="77777777" w:rsidR="00AF5627" w:rsidRPr="00F5008E" w:rsidRDefault="00AF5627" w:rsidP="00AF5627">
      <w:pPr>
        <w:rPr>
          <w:sz w:val="16"/>
          <w:szCs w:val="16"/>
        </w:rPr>
      </w:pPr>
      <w:r w:rsidRPr="00F5008E">
        <w:rPr>
          <w:sz w:val="16"/>
          <w:szCs w:val="16"/>
        </w:rPr>
        <w:t xml:space="preserve">Ce consentement exprimé sur un formulaire dont le contenu est fixé par arrêté, ainsi que la copie de l’attestation du CPDPN établissant la recevabilité du diagnostic, sont conservés dans le dossier médical du couple ou de la femme non mariée. </w:t>
      </w:r>
    </w:p>
    <w:p w14:paraId="326B5E86" w14:textId="77777777" w:rsidR="00AF5627" w:rsidRPr="0065748C" w:rsidRDefault="00AF5627" w:rsidP="00AF5627">
      <w:pPr>
        <w:rPr>
          <w:i/>
          <w:iCs/>
        </w:rPr>
      </w:pPr>
    </w:p>
    <w:p w14:paraId="5C161065" w14:textId="77777777" w:rsidR="00AF5627" w:rsidRPr="00F5008E" w:rsidRDefault="00AF5627" w:rsidP="00AF5627">
      <w:pPr>
        <w:rPr>
          <w:sz w:val="16"/>
          <w:szCs w:val="16"/>
        </w:rPr>
      </w:pPr>
      <w:r w:rsidRPr="00F5008E">
        <w:rPr>
          <w:sz w:val="16"/>
          <w:szCs w:val="16"/>
        </w:rPr>
        <w:t>Le consentement peut être révoqué à tout moment par l’un ou les deux membres du couple ou par la femme non mariée.</w:t>
      </w:r>
    </w:p>
    <w:p w14:paraId="52DD4F0B" w14:textId="77777777" w:rsidR="00AF5627" w:rsidRPr="00501B97" w:rsidRDefault="00AF5627" w:rsidP="00AF5627"/>
    <w:p w14:paraId="0F2E4CFD" w14:textId="332364C6" w:rsidR="00AF5627" w:rsidRDefault="00AF5627" w:rsidP="00F5008E">
      <w:pPr>
        <w:pStyle w:val="Paragraphedeliste"/>
        <w:numPr>
          <w:ilvl w:val="0"/>
          <w:numId w:val="53"/>
        </w:numPr>
      </w:pPr>
      <w:r>
        <w:t>REALISATIO</w:t>
      </w:r>
      <w:r w:rsidRPr="004B1FE3">
        <w:t>N</w:t>
      </w:r>
    </w:p>
    <w:p w14:paraId="4E4AD0BD" w14:textId="77777777" w:rsidR="00AF5627" w:rsidRDefault="00AF5627" w:rsidP="00AF5627"/>
    <w:p w14:paraId="2736C0B2" w14:textId="77777777" w:rsidR="00AF5627" w:rsidRDefault="00AF5627" w:rsidP="00F5008E">
      <w:pPr>
        <w:pStyle w:val="Paragraphedeliste"/>
        <w:numPr>
          <w:ilvl w:val="0"/>
          <w:numId w:val="55"/>
        </w:numPr>
      </w:pPr>
      <w:r>
        <w:t>Communication du résultat de l’AMP avec DPI au couple</w:t>
      </w:r>
    </w:p>
    <w:p w14:paraId="73B47587" w14:textId="77777777" w:rsidR="00AF5627" w:rsidRPr="00F5008E" w:rsidRDefault="00AF5627" w:rsidP="00AF5627">
      <w:pPr>
        <w:rPr>
          <w:sz w:val="16"/>
          <w:szCs w:val="16"/>
        </w:rPr>
      </w:pPr>
    </w:p>
    <w:p w14:paraId="6D0DAFBB" w14:textId="0E2ABF3F" w:rsidR="00AF5627" w:rsidRDefault="00AF5627" w:rsidP="00AF5627">
      <w:pPr>
        <w:rPr>
          <w:sz w:val="16"/>
          <w:szCs w:val="16"/>
        </w:rPr>
      </w:pPr>
      <w:r w:rsidRPr="00F5008E">
        <w:rPr>
          <w:sz w:val="16"/>
          <w:szCs w:val="16"/>
        </w:rPr>
        <w:t xml:space="preserve">Préalablement au transfert embryonnaire, un praticien de l’équipe médicale clinico-biologique pluridisciplinaire d’AMP ou un des praticiens du CDPI informe le couple ou la femme non mariée, des résultats de la FIV-DPI. Il remet au couple ou à la femme non mariée les résultats du diagnostic biologique en lui apportant les commentaires nécessaires. L’information comporte notamment une explication sur le risque d’erreur résiduel. </w:t>
      </w:r>
    </w:p>
    <w:p w14:paraId="18F79F6B" w14:textId="6EAB82F1" w:rsidR="006C286D" w:rsidRDefault="006C286D" w:rsidP="00AF5627">
      <w:pPr>
        <w:rPr>
          <w:sz w:val="16"/>
          <w:szCs w:val="16"/>
        </w:rPr>
      </w:pPr>
    </w:p>
    <w:p w14:paraId="44CB44CC" w14:textId="5EF5F14B" w:rsidR="006C286D" w:rsidRPr="00F5008E" w:rsidRDefault="006C286D" w:rsidP="00F5008E">
      <w:pPr>
        <w:pStyle w:val="Paragraphedeliste"/>
        <w:numPr>
          <w:ilvl w:val="0"/>
          <w:numId w:val="55"/>
        </w:numPr>
      </w:pPr>
      <w:r>
        <w:t>Le transfert embryonnaire et le suivi des tentatives</w:t>
      </w:r>
    </w:p>
    <w:p w14:paraId="2EA53D8B" w14:textId="77777777" w:rsidR="006C286D" w:rsidRDefault="006C286D" w:rsidP="006C286D"/>
    <w:p w14:paraId="1436B865" w14:textId="77777777" w:rsidR="006C286D" w:rsidRPr="00F5008E" w:rsidRDefault="006C286D" w:rsidP="006C286D">
      <w:pPr>
        <w:rPr>
          <w:sz w:val="16"/>
          <w:szCs w:val="16"/>
        </w:rPr>
      </w:pPr>
      <w:r w:rsidRPr="00F5008E">
        <w:rPr>
          <w:sz w:val="16"/>
          <w:szCs w:val="16"/>
        </w:rPr>
        <w:t>Dans tous les cas, le transfert d’un seul embryon est privilégié.</w:t>
      </w:r>
    </w:p>
    <w:p w14:paraId="124CA554" w14:textId="77777777" w:rsidR="006C286D" w:rsidRPr="00F5008E" w:rsidRDefault="006C286D" w:rsidP="006C286D">
      <w:pPr>
        <w:rPr>
          <w:sz w:val="16"/>
          <w:szCs w:val="16"/>
        </w:rPr>
      </w:pPr>
    </w:p>
    <w:p w14:paraId="216F488E" w14:textId="77777777" w:rsidR="006C286D" w:rsidRPr="00F5008E" w:rsidRDefault="006C286D" w:rsidP="006C286D">
      <w:pPr>
        <w:rPr>
          <w:sz w:val="16"/>
          <w:szCs w:val="16"/>
        </w:rPr>
      </w:pPr>
      <w:r w:rsidRPr="00F5008E">
        <w:rPr>
          <w:sz w:val="16"/>
          <w:szCs w:val="16"/>
        </w:rPr>
        <w:t>Plusieurs situations :</w:t>
      </w:r>
    </w:p>
    <w:p w14:paraId="453F3C8A" w14:textId="77777777" w:rsidR="006C286D" w:rsidRPr="00F5008E" w:rsidRDefault="006C286D" w:rsidP="006C286D">
      <w:pPr>
        <w:rPr>
          <w:sz w:val="16"/>
          <w:szCs w:val="16"/>
        </w:rPr>
      </w:pPr>
      <w:r w:rsidRPr="00F5008E">
        <w:rPr>
          <w:sz w:val="16"/>
          <w:szCs w:val="16"/>
        </w:rPr>
        <w:t xml:space="preserve">- Le transfert d’embryon immédiat est réalisé dans le centre d’AMP du CDPI. </w:t>
      </w:r>
    </w:p>
    <w:p w14:paraId="26024284" w14:textId="77777777" w:rsidR="006C286D" w:rsidRPr="00F5008E" w:rsidRDefault="006C286D" w:rsidP="006C286D">
      <w:pPr>
        <w:rPr>
          <w:sz w:val="16"/>
          <w:szCs w:val="16"/>
        </w:rPr>
      </w:pPr>
      <w:r w:rsidRPr="00F5008E">
        <w:rPr>
          <w:sz w:val="16"/>
          <w:szCs w:val="16"/>
        </w:rPr>
        <w:t>- Le transfert d’embryon congelé peut être réalisé dans un autre centre clinico-biologique d’AMP autorisé. Le cas échéant, le CDPI communique au couple, ou à la femme non mariée, et au centre d’AMP qui réalisera le transfert d’un embryon congelé, ou de plusieurs, les résultats du DPI, notamment l’information relative au risque résiduel. En retour, le centre d’AMP qui réalisera le transfert d’embryon congelé s’engage à transmettre les informations concernant ce transfert ainsi que son issue.</w:t>
      </w:r>
    </w:p>
    <w:p w14:paraId="3FBE8743" w14:textId="77777777" w:rsidR="006C286D" w:rsidRPr="00F5008E" w:rsidRDefault="006C286D" w:rsidP="006C286D">
      <w:pPr>
        <w:rPr>
          <w:sz w:val="16"/>
          <w:szCs w:val="16"/>
        </w:rPr>
      </w:pPr>
    </w:p>
    <w:p w14:paraId="0B2610D7" w14:textId="77777777" w:rsidR="00415798" w:rsidRDefault="00415798" w:rsidP="006C286D">
      <w:pPr>
        <w:rPr>
          <w:sz w:val="16"/>
          <w:szCs w:val="16"/>
        </w:rPr>
      </w:pPr>
      <w:r>
        <w:rPr>
          <w:sz w:val="16"/>
          <w:szCs w:val="16"/>
        </w:rPr>
        <w:t>Informations :</w:t>
      </w:r>
    </w:p>
    <w:p w14:paraId="03F88CDA" w14:textId="77777777" w:rsidR="00415798" w:rsidRDefault="00415798" w:rsidP="006C286D">
      <w:pPr>
        <w:rPr>
          <w:sz w:val="16"/>
          <w:szCs w:val="16"/>
        </w:rPr>
      </w:pPr>
      <w:r>
        <w:rPr>
          <w:sz w:val="16"/>
          <w:szCs w:val="16"/>
        </w:rPr>
        <w:t xml:space="preserve">- </w:t>
      </w:r>
      <w:r w:rsidR="006C286D" w:rsidRPr="00F5008E">
        <w:rPr>
          <w:sz w:val="16"/>
          <w:szCs w:val="16"/>
        </w:rPr>
        <w:t xml:space="preserve">Un compte-rendu de la tentative de DPI incluant notamment, les données d’AMP, le nombre d’embryons biopsiés, indemnes de la pathologie recherchée et congelés, est transmis au couple ou à la femme non mariée après chaque tentative. </w:t>
      </w:r>
    </w:p>
    <w:p w14:paraId="0B57EFDB" w14:textId="45F04909" w:rsidR="006C286D" w:rsidRDefault="00415798" w:rsidP="006C286D">
      <w:pPr>
        <w:rPr>
          <w:sz w:val="16"/>
          <w:szCs w:val="16"/>
        </w:rPr>
      </w:pPr>
      <w:r>
        <w:rPr>
          <w:sz w:val="16"/>
          <w:szCs w:val="16"/>
        </w:rPr>
        <w:t>- C</w:t>
      </w:r>
      <w:r w:rsidR="006C286D" w:rsidRPr="00F5008E">
        <w:rPr>
          <w:sz w:val="16"/>
          <w:szCs w:val="16"/>
        </w:rPr>
        <w:t>ryoconservation</w:t>
      </w:r>
      <w:r>
        <w:rPr>
          <w:sz w:val="16"/>
          <w:szCs w:val="16"/>
        </w:rPr>
        <w:t xml:space="preserve"> éventuelle</w:t>
      </w:r>
      <w:r w:rsidR="006C286D" w:rsidRPr="00F5008E">
        <w:rPr>
          <w:sz w:val="16"/>
          <w:szCs w:val="16"/>
        </w:rPr>
        <w:t xml:space="preserve"> d’embryons indemnes de la pathologie recherchée et du devenir des embryons non transférables.</w:t>
      </w:r>
    </w:p>
    <w:p w14:paraId="37B666D3" w14:textId="02BFBE74" w:rsidR="00415798" w:rsidRDefault="00415798" w:rsidP="006C286D">
      <w:pPr>
        <w:rPr>
          <w:sz w:val="16"/>
          <w:szCs w:val="16"/>
        </w:rPr>
      </w:pPr>
      <w:r>
        <w:rPr>
          <w:sz w:val="16"/>
          <w:szCs w:val="16"/>
        </w:rPr>
        <w:t xml:space="preserve">- </w:t>
      </w:r>
      <w:r w:rsidRPr="0065748C">
        <w:rPr>
          <w:sz w:val="16"/>
          <w:szCs w:val="16"/>
        </w:rPr>
        <w:t>suivi des femmes et des enfants issus d’AMP dans le cadre du DPI</w:t>
      </w:r>
      <w:r>
        <w:rPr>
          <w:sz w:val="16"/>
          <w:szCs w:val="16"/>
        </w:rPr>
        <w:t xml:space="preserve"> (avec </w:t>
      </w:r>
      <w:r w:rsidRPr="0065748C">
        <w:rPr>
          <w:sz w:val="16"/>
          <w:szCs w:val="16"/>
        </w:rPr>
        <w:t>consentement</w:t>
      </w:r>
      <w:r>
        <w:rPr>
          <w:sz w:val="16"/>
          <w:szCs w:val="16"/>
        </w:rPr>
        <w:t>)</w:t>
      </w:r>
    </w:p>
    <w:p w14:paraId="2A59A953" w14:textId="6109DF2B" w:rsidR="006C286D" w:rsidRPr="00F5008E" w:rsidRDefault="00415798" w:rsidP="006C286D">
      <w:pPr>
        <w:rPr>
          <w:sz w:val="16"/>
          <w:szCs w:val="16"/>
        </w:rPr>
      </w:pPr>
      <w:r>
        <w:rPr>
          <w:sz w:val="16"/>
          <w:szCs w:val="16"/>
        </w:rPr>
        <w:t xml:space="preserve">- </w:t>
      </w:r>
      <w:r w:rsidR="006C286D" w:rsidRPr="00F5008E">
        <w:rPr>
          <w:sz w:val="16"/>
          <w:szCs w:val="16"/>
        </w:rPr>
        <w:t>En cas de grossesse, un diagnostic prénatal peut être proposé selon les conditions réglementaires en vigueur.</w:t>
      </w:r>
    </w:p>
    <w:p w14:paraId="3C4684C0" w14:textId="77777777" w:rsidR="006C286D" w:rsidRPr="00F5008E" w:rsidRDefault="006C286D" w:rsidP="006C286D">
      <w:pPr>
        <w:rPr>
          <w:sz w:val="16"/>
          <w:szCs w:val="16"/>
        </w:rPr>
      </w:pPr>
      <w:r w:rsidRPr="00F5008E">
        <w:rPr>
          <w:sz w:val="16"/>
          <w:szCs w:val="16"/>
        </w:rPr>
        <w:t xml:space="preserve">- Si aucun embryon indemne n’est obtenu ou si aucun transfert d’embryon(s) indemne(s) n’a permis l’obtention d’une grossesse le cas échéant, des possibilités de renouvellement de la tentative. </w:t>
      </w:r>
    </w:p>
    <w:p w14:paraId="785F8520" w14:textId="50F584BC" w:rsidR="006C286D" w:rsidRDefault="006C286D" w:rsidP="006C286D">
      <w:pPr>
        <w:rPr>
          <w:sz w:val="16"/>
          <w:szCs w:val="16"/>
        </w:rPr>
      </w:pPr>
      <w:r w:rsidRPr="00F5008E">
        <w:rPr>
          <w:sz w:val="16"/>
          <w:szCs w:val="16"/>
        </w:rPr>
        <w:t xml:space="preserve">- Si des embryons congelés non diagnostiqués sont disponibles, les possibilités de biopsie embryonnaires et d’analyse diagnostique sur ces embryons sont présentées. </w:t>
      </w:r>
    </w:p>
    <w:p w14:paraId="75F201A0" w14:textId="60355574" w:rsidR="00415798" w:rsidRDefault="00415798" w:rsidP="006C286D">
      <w:pPr>
        <w:rPr>
          <w:sz w:val="16"/>
          <w:szCs w:val="16"/>
        </w:rPr>
      </w:pPr>
    </w:p>
    <w:p w14:paraId="791C2691" w14:textId="48008A4D" w:rsidR="00415798" w:rsidRDefault="00415798" w:rsidP="006C286D">
      <w:pPr>
        <w:rPr>
          <w:sz w:val="16"/>
          <w:szCs w:val="16"/>
        </w:rPr>
      </w:pPr>
    </w:p>
    <w:p w14:paraId="776CBE32" w14:textId="3EC3D038" w:rsidR="00415798" w:rsidRDefault="00415798" w:rsidP="00415798">
      <w:pPr>
        <w:rPr>
          <w:sz w:val="16"/>
          <w:szCs w:val="16"/>
        </w:rPr>
      </w:pPr>
      <w:r>
        <w:rPr>
          <w:sz w:val="16"/>
          <w:szCs w:val="16"/>
        </w:rPr>
        <w:t>Dans tous les cas, c</w:t>
      </w:r>
      <w:r w:rsidRPr="0065748C">
        <w:rPr>
          <w:sz w:val="16"/>
          <w:szCs w:val="16"/>
        </w:rPr>
        <w:t xml:space="preserve">onsultation avec un psychologue proposée. </w:t>
      </w:r>
    </w:p>
    <w:p w14:paraId="57C68F1A" w14:textId="77777777" w:rsidR="00415798" w:rsidRPr="00F5008E" w:rsidRDefault="00415798" w:rsidP="006C286D">
      <w:pPr>
        <w:rPr>
          <w:sz w:val="16"/>
          <w:szCs w:val="16"/>
        </w:rPr>
      </w:pPr>
    </w:p>
    <w:p w14:paraId="14105B0F" w14:textId="77777777" w:rsidR="006C286D" w:rsidRPr="00F5008E" w:rsidRDefault="006C286D" w:rsidP="006C286D">
      <w:pPr>
        <w:rPr>
          <w:sz w:val="16"/>
          <w:szCs w:val="16"/>
        </w:rPr>
      </w:pPr>
    </w:p>
    <w:p w14:paraId="210EF8A9" w14:textId="77777777" w:rsidR="00AF5627" w:rsidRDefault="00AF5627" w:rsidP="00AF5627">
      <w:pPr>
        <w:jc w:val="left"/>
        <w:rPr>
          <w:b/>
          <w:bCs/>
          <w:color w:val="002060"/>
        </w:rPr>
      </w:pPr>
    </w:p>
    <w:p w14:paraId="4417D2F6" w14:textId="77777777" w:rsidR="00AF5627" w:rsidRDefault="00AF5627" w:rsidP="00AF5627">
      <w:pPr>
        <w:jc w:val="left"/>
        <w:rPr>
          <w:i/>
          <w:iCs/>
        </w:rPr>
      </w:pPr>
    </w:p>
    <w:p w14:paraId="644DA8DF" w14:textId="7960F43A" w:rsidR="00880C90" w:rsidRDefault="00880C90" w:rsidP="000B48B1">
      <w:pPr>
        <w:jc w:val="left"/>
        <w:rPr>
          <w:b/>
          <w:bCs/>
          <w:color w:val="002060"/>
        </w:rPr>
      </w:pPr>
      <w:r w:rsidRPr="00F5008E">
        <w:rPr>
          <w:b/>
          <w:bCs/>
          <w:color w:val="002060"/>
        </w:rPr>
        <w:t xml:space="preserve">Annexe </w:t>
      </w:r>
      <w:r w:rsidR="00AF5627">
        <w:rPr>
          <w:b/>
          <w:bCs/>
          <w:color w:val="002060"/>
        </w:rPr>
        <w:t>10</w:t>
      </w:r>
      <w:r w:rsidRPr="00F5008E">
        <w:rPr>
          <w:b/>
          <w:bCs/>
          <w:color w:val="002060"/>
        </w:rPr>
        <w:t xml:space="preserve">  </w:t>
      </w:r>
      <w:r w:rsidR="003F0ECB">
        <w:rPr>
          <w:b/>
          <w:bCs/>
          <w:color w:val="002060"/>
        </w:rPr>
        <w:t xml:space="preserve">         </w:t>
      </w:r>
      <w:r w:rsidR="003F0ECB" w:rsidRPr="00F5008E">
        <w:rPr>
          <w:b/>
          <w:bCs/>
          <w:color w:val="002060"/>
        </w:rPr>
        <w:t>Liste des procédures propre au CDPI</w:t>
      </w:r>
    </w:p>
    <w:p w14:paraId="619FAA1B" w14:textId="77777777" w:rsidR="003F0ECB" w:rsidRDefault="003F0ECB" w:rsidP="000B48B1">
      <w:pPr>
        <w:jc w:val="left"/>
        <w:rPr>
          <w:i/>
          <w:iCs/>
        </w:rPr>
      </w:pPr>
    </w:p>
    <w:p w14:paraId="170AB974" w14:textId="44466E62" w:rsidR="00AF5627" w:rsidRPr="00F5008E" w:rsidRDefault="00AF5627" w:rsidP="005F06E9">
      <w:bookmarkStart w:id="143" w:name="_Hlk211349944"/>
      <w:r w:rsidRPr="00F5008E">
        <w:t>Procédures de saisine</w:t>
      </w:r>
      <w:r w:rsidR="006C286D">
        <w:t xml:space="preserve"> et accessibilité du CPDPN</w:t>
      </w:r>
    </w:p>
    <w:p w14:paraId="01ADB631" w14:textId="352A219F" w:rsidR="00C12B59" w:rsidRDefault="003F0ECB" w:rsidP="00C12B59">
      <w:r w:rsidRPr="00F5008E">
        <w:t xml:space="preserve">Procédure </w:t>
      </w:r>
      <w:r w:rsidR="00275267">
        <w:t>concernant</w:t>
      </w:r>
      <w:r w:rsidRPr="00F5008E">
        <w:t xml:space="preserve"> </w:t>
      </w:r>
      <w:r w:rsidR="00C12B59">
        <w:t>le</w:t>
      </w:r>
      <w:r w:rsidRPr="00F5008E">
        <w:t xml:space="preserve"> dossier médical </w:t>
      </w:r>
      <w:r w:rsidR="00C12B59">
        <w:t>(constitution, conservation et archivage)</w:t>
      </w:r>
    </w:p>
    <w:p w14:paraId="056C1CB0" w14:textId="4FBC3213" w:rsidR="00F04E85" w:rsidRDefault="00F04E85" w:rsidP="00F04E85">
      <w:r>
        <w:t xml:space="preserve">Procédure </w:t>
      </w:r>
      <w:r w:rsidR="00A2415E">
        <w:t>identito</w:t>
      </w:r>
      <w:r>
        <w:t xml:space="preserve">vigilance </w:t>
      </w:r>
      <w:r w:rsidR="00A2415E">
        <w:t>et traçabilité</w:t>
      </w:r>
    </w:p>
    <w:p w14:paraId="01D9D853" w14:textId="1D4C9E54" w:rsidR="00275267" w:rsidRDefault="00275267" w:rsidP="00F04E85">
      <w:r w:rsidRPr="00F5008E">
        <w:t>Procédure de transport des échantillons</w:t>
      </w:r>
    </w:p>
    <w:p w14:paraId="4C19FFA1" w14:textId="1D4C80D8" w:rsidR="003E34BD" w:rsidRPr="0065748C" w:rsidRDefault="003E34BD" w:rsidP="003E34BD">
      <w:r>
        <w:t>Procédure de g</w:t>
      </w:r>
      <w:r w:rsidRPr="009B14E3">
        <w:t xml:space="preserve">estion des non-conformités </w:t>
      </w:r>
    </w:p>
    <w:p w14:paraId="5B7A7F22" w14:textId="1A9F3DDA" w:rsidR="00F04E85" w:rsidRDefault="003E34BD" w:rsidP="00C12B59">
      <w:r>
        <w:t xml:space="preserve">Procédure vigilance </w:t>
      </w:r>
      <w:r w:rsidR="00D551A2" w:rsidRPr="00275267">
        <w:t>(</w:t>
      </w:r>
      <w:r w:rsidR="00275267" w:rsidRPr="00275267">
        <w:t>AMP vigilance</w:t>
      </w:r>
      <w:r w:rsidR="00D551A2" w:rsidRPr="00275267">
        <w:t>, procédure spécifique discordance des résultats)</w:t>
      </w:r>
    </w:p>
    <w:p w14:paraId="2658F410" w14:textId="1AF78FC6" w:rsidR="00F04E85" w:rsidRPr="0065748C" w:rsidRDefault="00F04E85" w:rsidP="00C12B59">
      <w:r w:rsidRPr="0065748C">
        <w:t>Procédure de transport des échantillons</w:t>
      </w:r>
    </w:p>
    <w:p w14:paraId="1ED8722A" w14:textId="62E70085" w:rsidR="00F04E85" w:rsidRDefault="003F0ECB" w:rsidP="00415798">
      <w:r w:rsidRPr="00F5008E">
        <w:t>Procédure décrivant le parcours des femmes prises en charge</w:t>
      </w:r>
    </w:p>
    <w:p w14:paraId="35AB373E" w14:textId="70A085F4" w:rsidR="00AF5627" w:rsidRDefault="00F04E85" w:rsidP="00F5008E">
      <w:r w:rsidRPr="0065748C">
        <w:t>Procédure concernant un DPI avec tiers donneur</w:t>
      </w:r>
    </w:p>
    <w:p w14:paraId="6542BF60" w14:textId="7DBB972A" w:rsidR="003E34BD" w:rsidRDefault="003E34BD" w:rsidP="003E34BD"/>
    <w:bookmarkEnd w:id="143"/>
    <w:p w14:paraId="199B66E8" w14:textId="77777777" w:rsidR="00213A67" w:rsidRPr="00F5008E" w:rsidRDefault="00213A67" w:rsidP="00F5008E">
      <w:pPr>
        <w:contextualSpacing/>
        <w:jc w:val="left"/>
        <w:rPr>
          <w:strike/>
          <w:sz w:val="16"/>
          <w:szCs w:val="16"/>
        </w:rPr>
      </w:pPr>
    </w:p>
    <w:sectPr w:rsidR="00213A67" w:rsidRPr="00F5008E" w:rsidSect="0087244F">
      <w:pgSz w:w="11906" w:h="16838"/>
      <w:pgMar w:top="2087"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CDAF" w14:textId="77777777" w:rsidR="0014174E" w:rsidRDefault="0014174E" w:rsidP="0025141F">
      <w:r>
        <w:separator/>
      </w:r>
    </w:p>
  </w:endnote>
  <w:endnote w:type="continuationSeparator" w:id="0">
    <w:p w14:paraId="1494B8B4" w14:textId="77777777" w:rsidR="0014174E" w:rsidRDefault="0014174E" w:rsidP="0025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IN-Bold">
    <w:altName w:val="Calibri"/>
    <w:charset w:val="4D"/>
    <w:family w:val="auto"/>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A80C" w14:textId="77777777" w:rsidR="007B62D6" w:rsidRPr="00442454" w:rsidRDefault="00442454" w:rsidP="00442454">
    <w:pPr>
      <w:pStyle w:val="Pieddepage"/>
      <w:jc w:val="right"/>
      <w:rPr>
        <w:rFonts w:cs="Arial"/>
        <w:b/>
        <w:bCs/>
        <w:color w:val="00B0DE"/>
        <w:sz w:val="16"/>
        <w:szCs w:val="16"/>
      </w:rPr>
    </w:pPr>
    <w:r>
      <w:rPr>
        <w:rFonts w:cs="Arial"/>
        <w:b/>
        <w:bCs/>
        <w:noProof/>
        <w:color w:val="00B0DE"/>
        <w:sz w:val="16"/>
        <w:szCs w:val="16"/>
      </w:rPr>
      <mc:AlternateContent>
        <mc:Choice Requires="wps">
          <w:drawing>
            <wp:anchor distT="0" distB="0" distL="114300" distR="114300" simplePos="0" relativeHeight="251657728" behindDoc="0" locked="0" layoutInCell="1" allowOverlap="1" wp14:anchorId="72033A8E" wp14:editId="550E0CCC">
              <wp:simplePos x="0" y="0"/>
              <wp:positionH relativeFrom="column">
                <wp:posOffset>-233680</wp:posOffset>
              </wp:positionH>
              <wp:positionV relativeFrom="paragraph">
                <wp:posOffset>-277495</wp:posOffset>
              </wp:positionV>
              <wp:extent cx="6629400" cy="381000"/>
              <wp:effectExtent l="0" t="0" r="0" b="0"/>
              <wp:wrapNone/>
              <wp:docPr id="196498350" name="Zone de texte 2"/>
              <wp:cNvGraphicFramePr/>
              <a:graphic xmlns:a="http://schemas.openxmlformats.org/drawingml/2006/main">
                <a:graphicData uri="http://schemas.microsoft.com/office/word/2010/wordprocessingShape">
                  <wps:wsp>
                    <wps:cNvSpPr txBox="1"/>
                    <wps:spPr>
                      <a:xfrm>
                        <a:off x="0" y="0"/>
                        <a:ext cx="6629400" cy="381000"/>
                      </a:xfrm>
                      <a:prstGeom prst="rect">
                        <a:avLst/>
                      </a:prstGeom>
                      <a:solidFill>
                        <a:schemeClr val="lt1"/>
                      </a:solidFill>
                      <a:ln w="6350">
                        <a:noFill/>
                      </a:ln>
                    </wps:spPr>
                    <wps:txbx>
                      <w:txbxContent>
                        <w:p w14:paraId="3A3B0213" w14:textId="1E3FC631" w:rsidR="00133939" w:rsidRPr="00133939" w:rsidRDefault="00133939" w:rsidP="00A35F14">
                          <w:pPr>
                            <w:pStyle w:val="NomPrnom"/>
                            <w:spacing w:line="252" w:lineRule="auto"/>
                            <w:ind w:left="-284"/>
                            <w:jc w:val="center"/>
                            <w:rPr>
                              <w:rFonts w:ascii="Arial" w:hAnsi="Arial" w:cs="Arial"/>
                              <w:caps/>
                              <w:color w:val="00B0DE"/>
                              <w:sz w:val="12"/>
                              <w:szCs w:val="12"/>
                            </w:rPr>
                          </w:pPr>
                          <w:r w:rsidRPr="00133939">
                            <w:rPr>
                              <w:rFonts w:ascii="Arial" w:hAnsi="Arial" w:cs="Arial"/>
                              <w:caps/>
                              <w:color w:val="00B0DE"/>
                              <w:sz w:val="12"/>
                              <w:szCs w:val="12"/>
                            </w:rPr>
                            <w:t>Guide pour l’élaboration du</w:t>
                          </w:r>
                          <w:r>
                            <w:rPr>
                              <w:rFonts w:ascii="Arial" w:hAnsi="Arial" w:cs="Arial"/>
                              <w:caps/>
                              <w:color w:val="00B0DE"/>
                              <w:sz w:val="12"/>
                              <w:szCs w:val="12"/>
                            </w:rPr>
                            <w:t xml:space="preserve"> </w:t>
                          </w:r>
                          <w:r w:rsidRPr="00133939">
                            <w:rPr>
                              <w:rFonts w:ascii="Arial" w:hAnsi="Arial" w:cs="Arial"/>
                              <w:caps/>
                              <w:color w:val="00B0DE"/>
                              <w:sz w:val="12"/>
                              <w:szCs w:val="12"/>
                            </w:rPr>
                            <w:t>Règlement intérieur d’un</w:t>
                          </w:r>
                          <w:r>
                            <w:rPr>
                              <w:rFonts w:ascii="Arial" w:hAnsi="Arial" w:cs="Arial"/>
                              <w:caps/>
                              <w:color w:val="00B0DE"/>
                              <w:sz w:val="12"/>
                              <w:szCs w:val="12"/>
                            </w:rPr>
                            <w:t xml:space="preserve"> </w:t>
                          </w:r>
                          <w:r w:rsidR="00A35F14" w:rsidRPr="00A35F14">
                            <w:rPr>
                              <w:rFonts w:ascii="Arial" w:hAnsi="Arial" w:cs="Arial"/>
                              <w:caps/>
                              <w:color w:val="00B0DE"/>
                              <w:sz w:val="12"/>
                              <w:szCs w:val="12"/>
                            </w:rPr>
                            <w:t>Centre De Diagnostic Pré-Implantatoire</w:t>
                          </w:r>
                          <w:r w:rsidR="00A35F14">
                            <w:rPr>
                              <w:rFonts w:ascii="Arial" w:hAnsi="Arial" w:cs="Arial"/>
                              <w:caps/>
                              <w:color w:val="00B0DE"/>
                              <w:sz w:val="12"/>
                              <w:szCs w:val="12"/>
                            </w:rPr>
                            <w:t xml:space="preserve"> - </w:t>
                          </w:r>
                          <w:r w:rsidR="005D5F2C">
                            <w:rPr>
                              <w:rFonts w:ascii="Arial" w:hAnsi="Arial" w:cs="Arial"/>
                              <w:caps/>
                              <w:color w:val="00B0DE"/>
                              <w:sz w:val="12"/>
                              <w:szCs w:val="12"/>
                            </w:rPr>
                            <w:t xml:space="preserve">Maj </w:t>
                          </w:r>
                          <w:r w:rsidR="00946CC8">
                            <w:rPr>
                              <w:rFonts w:ascii="Arial" w:hAnsi="Arial" w:cs="Arial"/>
                              <w:caps/>
                              <w:color w:val="00B0DE"/>
                              <w:sz w:val="12"/>
                              <w:szCs w:val="12"/>
                            </w:rPr>
                            <w:t>12 janvier 2026</w:t>
                          </w:r>
                        </w:p>
                        <w:p w14:paraId="430F91A5" w14:textId="04CB78F5" w:rsidR="00133939" w:rsidRPr="00133939" w:rsidRDefault="00133939" w:rsidP="00133939">
                          <w:pPr>
                            <w:pStyle w:val="NomPrnom"/>
                            <w:spacing w:line="252" w:lineRule="auto"/>
                            <w:jc w:val="left"/>
                            <w:rPr>
                              <w:rFonts w:ascii="Arial" w:hAnsi="Arial" w:cs="Arial"/>
                              <w:caps/>
                              <w:color w:val="00B0DE"/>
                              <w:sz w:val="12"/>
                              <w:szCs w:val="12"/>
                            </w:rPr>
                          </w:pPr>
                        </w:p>
                        <w:p w14:paraId="39C2A949" w14:textId="47534055" w:rsidR="00442454" w:rsidRPr="000E7DA2" w:rsidRDefault="00133939" w:rsidP="00133939">
                          <w:pPr>
                            <w:pStyle w:val="Paragraphestandard"/>
                            <w:spacing w:before="397" w:after="227"/>
                            <w:rPr>
                              <w:rFonts w:ascii="Arial" w:hAnsi="Arial" w:cs="Arial"/>
                              <w:b/>
                              <w:bCs/>
                              <w:caps/>
                              <w:color w:val="00B0DE"/>
                              <w:sz w:val="12"/>
                              <w:szCs w:val="12"/>
                            </w:rPr>
                          </w:pPr>
                          <w:r>
                            <w:rPr>
                              <w:rFonts w:ascii="Arial" w:hAnsi="Arial" w:cs="Arial"/>
                              <w:color w:val="273467"/>
                              <w:spacing w:val="23"/>
                              <w:sz w:val="52"/>
                              <w:szCs w:val="52"/>
                            </w:rPr>
                            <w:t>De</w:t>
                          </w:r>
                          <w:r w:rsidRPr="00160298">
                            <w:rPr>
                              <w:rFonts w:ascii="Arial" w:hAnsi="Arial" w:cs="Arial"/>
                              <w:color w:val="273467"/>
                              <w:spacing w:val="23"/>
                              <w:sz w:val="52"/>
                              <w:szCs w:val="52"/>
                            </w:rPr>
                            <w:t xml:space="preserve"> </w:t>
                          </w:r>
                          <w:r>
                            <w:rPr>
                              <w:rFonts w:ascii="Arial" w:hAnsi="Arial" w:cs="Arial"/>
                              <w:color w:val="273467"/>
                              <w:spacing w:val="23"/>
                              <w:sz w:val="52"/>
                              <w:szCs w:val="52"/>
                            </w:rPr>
                            <w:t>D</w:t>
                          </w:r>
                          <w:r w:rsidRPr="00160298">
                            <w:rPr>
                              <w:rFonts w:ascii="Arial" w:hAnsi="Arial" w:cs="Arial"/>
                              <w:color w:val="273467"/>
                              <w:spacing w:val="23"/>
                              <w:sz w:val="52"/>
                              <w:szCs w:val="52"/>
                            </w:rPr>
                            <w:t xml:space="preserve">iagnostic </w:t>
                          </w:r>
                          <w:r>
                            <w:rPr>
                              <w:rFonts w:ascii="Arial" w:hAnsi="Arial" w:cs="Arial"/>
                              <w:color w:val="273467"/>
                              <w:spacing w:val="23"/>
                              <w:sz w:val="52"/>
                              <w:szCs w:val="52"/>
                            </w:rPr>
                            <w:t>P</w:t>
                          </w:r>
                          <w:r w:rsidRPr="00160298">
                            <w:rPr>
                              <w:rFonts w:ascii="Arial" w:hAnsi="Arial" w:cs="Arial"/>
                              <w:color w:val="273467"/>
                              <w:spacing w:val="23"/>
                              <w:sz w:val="52"/>
                              <w:szCs w:val="52"/>
                            </w:rPr>
                            <w:t>rénatal</w:t>
                          </w:r>
                        </w:p>
                        <w:p w14:paraId="7BE527F0" w14:textId="77777777" w:rsidR="00442454" w:rsidRPr="000E7DA2" w:rsidRDefault="00442454" w:rsidP="00442454">
                          <w:pPr>
                            <w:rPr>
                              <w:color w:val="00B0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33A8E" id="_x0000_t202" coordsize="21600,21600" o:spt="202" path="m,l,21600r21600,l21600,xe">
              <v:stroke joinstyle="miter"/>
              <v:path gradientshapeok="t" o:connecttype="rect"/>
            </v:shapetype>
            <v:shape id="Zone de texte 2" o:spid="_x0000_s1026" type="#_x0000_t202" style="position:absolute;left:0;text-align:left;margin-left:-18.4pt;margin-top:-21.85pt;width:522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" fillcolor="white [3201]" stroked="f" strokeweight=".5pt">
              <v:textbox>
                <w:txbxContent>
                  <w:p w14:paraId="3A3B0213" w14:textId="1E3FC631" w:rsidR="00133939" w:rsidRPr="00133939" w:rsidRDefault="00133939" w:rsidP="00A35F14">
                    <w:pPr>
                      <w:pStyle w:val="NomPrnom"/>
                      <w:spacing w:line="252" w:lineRule="auto"/>
                      <w:ind w:left="-284"/>
                      <w:jc w:val="center"/>
                      <w:rPr>
                        <w:rFonts w:ascii="Arial" w:hAnsi="Arial" w:cs="Arial"/>
                        <w:caps/>
                        <w:color w:val="00B0DE"/>
                        <w:sz w:val="12"/>
                        <w:szCs w:val="12"/>
                      </w:rPr>
                    </w:pPr>
                    <w:r w:rsidRPr="00133939">
                      <w:rPr>
                        <w:rFonts w:ascii="Arial" w:hAnsi="Arial" w:cs="Arial"/>
                        <w:caps/>
                        <w:color w:val="00B0DE"/>
                        <w:sz w:val="12"/>
                        <w:szCs w:val="12"/>
                      </w:rPr>
                      <w:t>Guide pour l’élaboration du</w:t>
                    </w:r>
                    <w:r>
                      <w:rPr>
                        <w:rFonts w:ascii="Arial" w:hAnsi="Arial" w:cs="Arial"/>
                        <w:caps/>
                        <w:color w:val="00B0DE"/>
                        <w:sz w:val="12"/>
                        <w:szCs w:val="12"/>
                      </w:rPr>
                      <w:t xml:space="preserve"> </w:t>
                    </w:r>
                    <w:r w:rsidRPr="00133939">
                      <w:rPr>
                        <w:rFonts w:ascii="Arial" w:hAnsi="Arial" w:cs="Arial"/>
                        <w:caps/>
                        <w:color w:val="00B0DE"/>
                        <w:sz w:val="12"/>
                        <w:szCs w:val="12"/>
                      </w:rPr>
                      <w:t>Règlement intérieur d’un</w:t>
                    </w:r>
                    <w:r>
                      <w:rPr>
                        <w:rFonts w:ascii="Arial" w:hAnsi="Arial" w:cs="Arial"/>
                        <w:caps/>
                        <w:color w:val="00B0DE"/>
                        <w:sz w:val="12"/>
                        <w:szCs w:val="12"/>
                      </w:rPr>
                      <w:t xml:space="preserve"> </w:t>
                    </w:r>
                    <w:r w:rsidR="00A35F14" w:rsidRPr="00A35F14">
                      <w:rPr>
                        <w:rFonts w:ascii="Arial" w:hAnsi="Arial" w:cs="Arial"/>
                        <w:caps/>
                        <w:color w:val="00B0DE"/>
                        <w:sz w:val="12"/>
                        <w:szCs w:val="12"/>
                      </w:rPr>
                      <w:t>Centre De Diagnostic Pré-Implantatoire</w:t>
                    </w:r>
                    <w:r w:rsidR="00A35F14">
                      <w:rPr>
                        <w:rFonts w:ascii="Arial" w:hAnsi="Arial" w:cs="Arial"/>
                        <w:caps/>
                        <w:color w:val="00B0DE"/>
                        <w:sz w:val="12"/>
                        <w:szCs w:val="12"/>
                      </w:rPr>
                      <w:t xml:space="preserve"> - </w:t>
                    </w:r>
                    <w:r w:rsidR="005D5F2C">
                      <w:rPr>
                        <w:rFonts w:ascii="Arial" w:hAnsi="Arial" w:cs="Arial"/>
                        <w:caps/>
                        <w:color w:val="00B0DE"/>
                        <w:sz w:val="12"/>
                        <w:szCs w:val="12"/>
                      </w:rPr>
                      <w:t xml:space="preserve">Maj </w:t>
                    </w:r>
                    <w:r w:rsidR="00946CC8">
                      <w:rPr>
                        <w:rFonts w:ascii="Arial" w:hAnsi="Arial" w:cs="Arial"/>
                        <w:caps/>
                        <w:color w:val="00B0DE"/>
                        <w:sz w:val="12"/>
                        <w:szCs w:val="12"/>
                      </w:rPr>
                      <w:t>12 janvier 2026</w:t>
                    </w:r>
                  </w:p>
                  <w:p w14:paraId="430F91A5" w14:textId="04CB78F5" w:rsidR="00133939" w:rsidRPr="00133939" w:rsidRDefault="00133939" w:rsidP="00133939">
                    <w:pPr>
                      <w:pStyle w:val="NomPrnom"/>
                      <w:spacing w:line="252" w:lineRule="auto"/>
                      <w:jc w:val="left"/>
                      <w:rPr>
                        <w:rFonts w:ascii="Arial" w:hAnsi="Arial" w:cs="Arial"/>
                        <w:caps/>
                        <w:color w:val="00B0DE"/>
                        <w:sz w:val="12"/>
                        <w:szCs w:val="12"/>
                      </w:rPr>
                    </w:pPr>
                  </w:p>
                  <w:p w14:paraId="39C2A949" w14:textId="47534055" w:rsidR="00442454" w:rsidRPr="000E7DA2" w:rsidRDefault="00133939" w:rsidP="00133939">
                    <w:pPr>
                      <w:pStyle w:val="Paragraphestandard"/>
                      <w:spacing w:before="397" w:after="227"/>
                      <w:rPr>
                        <w:rFonts w:ascii="Arial" w:hAnsi="Arial" w:cs="Arial"/>
                        <w:b/>
                        <w:bCs/>
                        <w:caps/>
                        <w:color w:val="00B0DE"/>
                        <w:sz w:val="12"/>
                        <w:szCs w:val="12"/>
                      </w:rPr>
                    </w:pPr>
                    <w:r>
                      <w:rPr>
                        <w:rFonts w:ascii="Arial" w:hAnsi="Arial" w:cs="Arial"/>
                        <w:color w:val="273467"/>
                        <w:spacing w:val="23"/>
                        <w:sz w:val="52"/>
                        <w:szCs w:val="52"/>
                      </w:rPr>
                      <w:t>De</w:t>
                    </w:r>
                    <w:r w:rsidRPr="00160298">
                      <w:rPr>
                        <w:rFonts w:ascii="Arial" w:hAnsi="Arial" w:cs="Arial"/>
                        <w:color w:val="273467"/>
                        <w:spacing w:val="23"/>
                        <w:sz w:val="52"/>
                        <w:szCs w:val="52"/>
                      </w:rPr>
                      <w:t xml:space="preserve"> </w:t>
                    </w:r>
                    <w:r>
                      <w:rPr>
                        <w:rFonts w:ascii="Arial" w:hAnsi="Arial" w:cs="Arial"/>
                        <w:color w:val="273467"/>
                        <w:spacing w:val="23"/>
                        <w:sz w:val="52"/>
                        <w:szCs w:val="52"/>
                      </w:rPr>
                      <w:t>D</w:t>
                    </w:r>
                    <w:r w:rsidRPr="00160298">
                      <w:rPr>
                        <w:rFonts w:ascii="Arial" w:hAnsi="Arial" w:cs="Arial"/>
                        <w:color w:val="273467"/>
                        <w:spacing w:val="23"/>
                        <w:sz w:val="52"/>
                        <w:szCs w:val="52"/>
                      </w:rPr>
                      <w:t xml:space="preserve">iagnostic </w:t>
                    </w:r>
                    <w:r>
                      <w:rPr>
                        <w:rFonts w:ascii="Arial" w:hAnsi="Arial" w:cs="Arial"/>
                        <w:color w:val="273467"/>
                        <w:spacing w:val="23"/>
                        <w:sz w:val="52"/>
                        <w:szCs w:val="52"/>
                      </w:rPr>
                      <w:t>P</w:t>
                    </w:r>
                    <w:r w:rsidRPr="00160298">
                      <w:rPr>
                        <w:rFonts w:ascii="Arial" w:hAnsi="Arial" w:cs="Arial"/>
                        <w:color w:val="273467"/>
                        <w:spacing w:val="23"/>
                        <w:sz w:val="52"/>
                        <w:szCs w:val="52"/>
                      </w:rPr>
                      <w:t>rénatal</w:t>
                    </w:r>
                  </w:p>
                  <w:p w14:paraId="7BE527F0" w14:textId="77777777" w:rsidR="00442454" w:rsidRPr="000E7DA2" w:rsidRDefault="00442454" w:rsidP="00442454">
                    <w:pPr>
                      <w:rPr>
                        <w:color w:val="00B0DE"/>
                      </w:rPr>
                    </w:pPr>
                  </w:p>
                </w:txbxContent>
              </v:textbox>
            </v:shape>
          </w:pict>
        </mc:Fallback>
      </mc:AlternateContent>
    </w:r>
    <w:r w:rsidRPr="000E7DA2">
      <w:rPr>
        <w:rFonts w:cs="Arial"/>
        <w:b/>
        <w:bCs/>
        <w:color w:val="00B0DE"/>
        <w:sz w:val="16"/>
        <w:szCs w:val="16"/>
      </w:rPr>
      <w:fldChar w:fldCharType="begin"/>
    </w:r>
    <w:r w:rsidRPr="000E7DA2">
      <w:rPr>
        <w:rFonts w:cs="Arial"/>
        <w:b/>
        <w:bCs/>
        <w:color w:val="00B0DE"/>
        <w:sz w:val="16"/>
        <w:szCs w:val="16"/>
      </w:rPr>
      <w:instrText>PAGE  \* Arabic</w:instrText>
    </w:r>
    <w:r w:rsidRPr="000E7DA2">
      <w:rPr>
        <w:rFonts w:cs="Arial"/>
        <w:b/>
        <w:bCs/>
        <w:color w:val="00B0DE"/>
        <w:sz w:val="16"/>
        <w:szCs w:val="16"/>
      </w:rPr>
      <w:fldChar w:fldCharType="separate"/>
    </w:r>
    <w:r>
      <w:rPr>
        <w:rFonts w:cs="Arial"/>
        <w:b/>
        <w:bCs/>
        <w:color w:val="00B0DE"/>
        <w:sz w:val="16"/>
        <w:szCs w:val="16"/>
      </w:rPr>
      <w:t>1</w:t>
    </w:r>
    <w:r w:rsidRPr="000E7DA2">
      <w:rPr>
        <w:rFonts w:cs="Arial"/>
        <w:b/>
        <w:bCs/>
        <w:color w:val="00B0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049A" w14:textId="77777777" w:rsidR="0014174E" w:rsidRDefault="0014174E" w:rsidP="0025141F">
      <w:r>
        <w:separator/>
      </w:r>
    </w:p>
  </w:footnote>
  <w:footnote w:type="continuationSeparator" w:id="0">
    <w:p w14:paraId="04232B92" w14:textId="77777777" w:rsidR="0014174E" w:rsidRDefault="0014174E" w:rsidP="0025141F">
      <w:r>
        <w:continuationSeparator/>
      </w:r>
    </w:p>
  </w:footnote>
  <w:footnote w:id="1">
    <w:p w14:paraId="233B779D" w14:textId="1B92608A" w:rsidR="00A35F14" w:rsidRDefault="00A35F14">
      <w:pPr>
        <w:pStyle w:val="Notedebasdepage"/>
      </w:pPr>
      <w:r>
        <w:rPr>
          <w:rStyle w:val="Appelnotedebasdep"/>
        </w:rPr>
        <w:footnoteRef/>
      </w:r>
      <w:r>
        <w:t xml:space="preserve"> Ces recommandations de bonnes pratiques viennent compléter l’ensemble du dispositif juridique existant et s’articulent avec d’autres règles de bonnes pratiques notamment celles relatives aux CPDPN et à l’AMP</w:t>
      </w:r>
      <w:r w:rsidR="004A17C0">
        <w:t xml:space="preserve">. </w:t>
      </w:r>
      <w:r>
        <w:t>Elles sont applicables sans préjudice des dispositions légales et réglementaires en vigueur, notamment celles relatives à la biologie médicale.</w:t>
      </w:r>
    </w:p>
  </w:footnote>
  <w:footnote w:id="2">
    <w:p w14:paraId="49653EBE" w14:textId="77777777" w:rsidR="00CD2598" w:rsidRPr="00CD2598" w:rsidRDefault="00CD2598" w:rsidP="00CD2598">
      <w:pPr>
        <w:jc w:val="left"/>
        <w:rPr>
          <w:sz w:val="16"/>
          <w:szCs w:val="16"/>
        </w:rPr>
      </w:pPr>
      <w:r>
        <w:rPr>
          <w:rStyle w:val="Appelnotedebasdep"/>
        </w:rPr>
        <w:footnoteRef/>
      </w:r>
      <w:r>
        <w:t xml:space="preserve"> </w:t>
      </w:r>
      <w:r w:rsidRPr="00CD2598">
        <w:rPr>
          <w:sz w:val="16"/>
          <w:szCs w:val="16"/>
        </w:rPr>
        <w:t>* Modèles type proposé par l’Agence de la Biomédecine</w:t>
      </w:r>
    </w:p>
    <w:p w14:paraId="4C24CD9F" w14:textId="77777777" w:rsidR="00CD2598" w:rsidRPr="00CD2598" w:rsidRDefault="00CD2598" w:rsidP="00CD2598">
      <w:pPr>
        <w:jc w:val="left"/>
        <w:rPr>
          <w:sz w:val="16"/>
          <w:szCs w:val="16"/>
        </w:rPr>
      </w:pPr>
      <w:r w:rsidRPr="00CD2598">
        <w:rPr>
          <w:sz w:val="16"/>
          <w:szCs w:val="16"/>
        </w:rPr>
        <w:t>** Modèle type prévu par Arrêté</w:t>
      </w:r>
    </w:p>
    <w:p w14:paraId="15D0D48D" w14:textId="3AF13B5B" w:rsidR="00CD2598" w:rsidRDefault="00CD2598">
      <w:pPr>
        <w:pStyle w:val="Notedebasdepage"/>
      </w:pPr>
    </w:p>
  </w:footnote>
  <w:footnote w:id="3">
    <w:p w14:paraId="1D5A331F" w14:textId="4565797D" w:rsidR="008B46E7" w:rsidRPr="00577468" w:rsidRDefault="008B46E7" w:rsidP="008B46E7">
      <w:pPr>
        <w:pStyle w:val="Notedebasdepage"/>
        <w:rPr>
          <w:sz w:val="16"/>
          <w:szCs w:val="16"/>
        </w:rPr>
      </w:pPr>
      <w:r w:rsidRPr="00577468">
        <w:rPr>
          <w:sz w:val="16"/>
          <w:szCs w:val="16"/>
          <w:vertAlign w:val="superscript"/>
        </w:rPr>
        <w:footnoteRef/>
      </w:r>
      <w:r w:rsidRPr="00577468">
        <w:rPr>
          <w:sz w:val="16"/>
          <w:szCs w:val="16"/>
          <w:vertAlign w:val="superscript"/>
        </w:rPr>
        <w:t xml:space="preserve"> </w:t>
      </w:r>
      <w:r w:rsidRPr="00577468">
        <w:rPr>
          <w:sz w:val="16"/>
          <w:szCs w:val="16"/>
        </w:rPr>
        <w:t>L'établissement est autorisé, pour une durée de cinq ans, par le directeur général de l'Agence de la biomédecine pour la pratique de chacune de ces activités, après avis du conseil d'orientation de l'agence conformément à l'article </w:t>
      </w:r>
      <w:hyperlink r:id="rId1" w:history="1">
        <w:r w:rsidRPr="00577468">
          <w:rPr>
            <w:sz w:val="16"/>
            <w:szCs w:val="16"/>
          </w:rPr>
          <w:t>L. 1418-4</w:t>
        </w:r>
      </w:hyperlink>
      <w:r w:rsidRPr="00577468">
        <w:rPr>
          <w:sz w:val="16"/>
          <w:szCs w:val="16"/>
        </w:rPr>
        <w:t>. La décision d'autorisation prend en compte les garanties de continuité des activités envisagées ou déjà mises en œuvre.</w:t>
      </w:r>
    </w:p>
  </w:footnote>
  <w:footnote w:id="4">
    <w:p w14:paraId="2867E8BB" w14:textId="77777777" w:rsidR="008B46E7" w:rsidRPr="00577468" w:rsidRDefault="008B46E7" w:rsidP="008B46E7">
      <w:pPr>
        <w:pStyle w:val="Notedebasdepage"/>
        <w:rPr>
          <w:sz w:val="16"/>
          <w:szCs w:val="16"/>
        </w:rPr>
      </w:pPr>
      <w:r w:rsidRPr="00577468">
        <w:rPr>
          <w:rStyle w:val="Appelnotedebasdep"/>
          <w:sz w:val="16"/>
          <w:szCs w:val="16"/>
        </w:rPr>
        <w:footnoteRef/>
      </w:r>
      <w:r w:rsidRPr="00577468">
        <w:rPr>
          <w:sz w:val="16"/>
          <w:szCs w:val="16"/>
        </w:rPr>
        <w:t xml:space="preserve"> </w:t>
      </w:r>
      <w:r w:rsidRPr="00577468">
        <w:rPr>
          <w:rFonts w:cs="Arial"/>
          <w:color w:val="000000"/>
          <w:sz w:val="16"/>
          <w:szCs w:val="16"/>
          <w:shd w:val="clear" w:color="auto" w:fill="FFFFFF"/>
        </w:rPr>
        <w:t>Pour obtenir l'autorisation d'exercer l'activité mentionnée au 1° de </w:t>
      </w:r>
      <w:hyperlink r:id="rId2" w:tooltip="Code de la santé publique - art. R2131-22-2 (V)" w:history="1">
        <w:r w:rsidRPr="00577468">
          <w:rPr>
            <w:rStyle w:val="Lienhypertexte"/>
            <w:rFonts w:cs="Arial"/>
            <w:color w:val="4A5E81"/>
            <w:sz w:val="16"/>
            <w:szCs w:val="16"/>
            <w:shd w:val="clear" w:color="auto" w:fill="FFFFFF"/>
          </w:rPr>
          <w:t>l'article R. 2131-22-2</w:t>
        </w:r>
      </w:hyperlink>
      <w:r w:rsidRPr="00577468">
        <w:rPr>
          <w:rFonts w:cs="Arial"/>
          <w:color w:val="000000"/>
          <w:sz w:val="16"/>
          <w:szCs w:val="16"/>
          <w:shd w:val="clear" w:color="auto" w:fill="FFFFFF"/>
        </w:rPr>
        <w:t>, les établissements doivent être autorisés, en application de </w:t>
      </w:r>
      <w:hyperlink r:id="rId3" w:tooltip="Code de la santé publique - art. L2142-1 (V)" w:history="1">
        <w:r w:rsidRPr="00577468">
          <w:rPr>
            <w:rStyle w:val="Lienhypertexte"/>
            <w:rFonts w:cs="Arial"/>
            <w:color w:val="4A5E81"/>
            <w:sz w:val="16"/>
            <w:szCs w:val="16"/>
            <w:shd w:val="clear" w:color="auto" w:fill="FFFFFF"/>
          </w:rPr>
          <w:t>l'article L. 2142-1 </w:t>
        </w:r>
      </w:hyperlink>
      <w:r w:rsidRPr="00577468">
        <w:rPr>
          <w:rFonts w:cs="Arial"/>
          <w:color w:val="000000"/>
          <w:sz w:val="16"/>
          <w:szCs w:val="16"/>
          <w:shd w:val="clear" w:color="auto" w:fill="FFFFFF"/>
        </w:rPr>
        <w:t>et dans les conditions fixées aux articles R. 2142-1 et suivants, à pratiquer la fécondation in vitro avec micromanipulation.</w:t>
      </w:r>
    </w:p>
  </w:footnote>
  <w:footnote w:id="5">
    <w:p w14:paraId="355817D0" w14:textId="77777777" w:rsidR="008B46E7" w:rsidRPr="00577468" w:rsidRDefault="008B46E7" w:rsidP="008B46E7">
      <w:pPr>
        <w:pStyle w:val="Notedebasdepage"/>
        <w:rPr>
          <w:sz w:val="16"/>
          <w:szCs w:val="16"/>
        </w:rPr>
      </w:pPr>
      <w:r w:rsidRPr="00577468">
        <w:rPr>
          <w:rStyle w:val="Appelnotedebasdep"/>
          <w:sz w:val="16"/>
          <w:szCs w:val="16"/>
        </w:rPr>
        <w:footnoteRef/>
      </w:r>
      <w:r w:rsidRPr="00577468">
        <w:rPr>
          <w:sz w:val="16"/>
          <w:szCs w:val="16"/>
        </w:rPr>
        <w:t xml:space="preserve"> </w:t>
      </w:r>
      <w:r w:rsidRPr="00577468">
        <w:rPr>
          <w:rFonts w:cs="Arial"/>
          <w:color w:val="000000"/>
          <w:sz w:val="16"/>
          <w:szCs w:val="16"/>
          <w:shd w:val="clear" w:color="auto" w:fill="FFFFFF"/>
        </w:rPr>
        <w:t>Pour obtenir les autorisations correspondantes aux activités mentionnées au 2° et 3° de l'article R. 2131-22-2, les établissements doivent être autorisés en application de </w:t>
      </w:r>
      <w:hyperlink r:id="rId4" w:tooltip="Code de la santé publique - art. L2131-1 (V)" w:history="1">
        <w:r w:rsidRPr="00577468">
          <w:rPr>
            <w:rStyle w:val="Lienhypertexte"/>
            <w:rFonts w:cs="Arial"/>
            <w:color w:val="4A5E81"/>
            <w:sz w:val="16"/>
            <w:szCs w:val="16"/>
            <w:shd w:val="clear" w:color="auto" w:fill="FFFFFF"/>
          </w:rPr>
          <w:t>l'article L. 2131-1</w:t>
        </w:r>
      </w:hyperlink>
      <w:r w:rsidRPr="00577468">
        <w:rPr>
          <w:rFonts w:cs="Arial"/>
          <w:color w:val="000000"/>
          <w:sz w:val="16"/>
          <w:szCs w:val="16"/>
          <w:shd w:val="clear" w:color="auto" w:fill="FFFFFF"/>
        </w:rPr>
        <w:t> à pratiquer les analyses prévues aux 1° et 2° de l'article R. 2131-1.</w:t>
      </w:r>
    </w:p>
  </w:footnote>
  <w:footnote w:id="6">
    <w:p w14:paraId="6497365C" w14:textId="4C3C0C1E" w:rsidR="000D7D6E" w:rsidRDefault="000D7D6E">
      <w:pPr>
        <w:pStyle w:val="Notedebasdepage"/>
      </w:pPr>
      <w:r>
        <w:rPr>
          <w:rStyle w:val="Appelnotedebasdep"/>
        </w:rPr>
        <w:footnoteRef/>
      </w:r>
      <w:r>
        <w:t xml:space="preserve"> </w:t>
      </w:r>
      <w:r w:rsidRPr="000D7D6E">
        <w:rPr>
          <w:sz w:val="16"/>
          <w:szCs w:val="16"/>
        </w:rPr>
        <w:t>Tout changement de coordonnateur doit être signalé à l’Agence de la biomédecine.</w:t>
      </w:r>
    </w:p>
  </w:footnote>
  <w:footnote w:id="7">
    <w:p w14:paraId="73B14653" w14:textId="55D2726D" w:rsidR="00675C15" w:rsidRDefault="00675C15" w:rsidP="0097648B">
      <w:pPr>
        <w:pStyle w:val="Notedebasdepage"/>
      </w:pPr>
      <w:r>
        <w:rPr>
          <w:rStyle w:val="Appelnotedebasdep"/>
        </w:rPr>
        <w:footnoteRef/>
      </w:r>
      <w:r>
        <w:t xml:space="preserve"> </w:t>
      </w:r>
      <w:r w:rsidRPr="00675C15">
        <w:rPr>
          <w:sz w:val="16"/>
          <w:szCs w:val="16"/>
        </w:rPr>
        <w:t>Le consentement éclairé en vue de l’examen des caractéristiques génétiques est recueilli par écrit par le professionnel qualifié en génétique en charge de l’information ; il peut s’agir d’un professionnel qualifié en génétique ou du conseiller en génétique du CDPI ou d’autres professionnels qualifiés en génétique, en charge du suivi du couple ou de la femme non mariée et le cas échéant de leur famille, notamment en cas d’éloignement géographique.</w:t>
      </w:r>
    </w:p>
  </w:footnote>
  <w:footnote w:id="8">
    <w:p w14:paraId="6F678EB3" w14:textId="42B2BEFF" w:rsidR="00C12B59" w:rsidRPr="003C2598" w:rsidRDefault="00C12B59" w:rsidP="00C12B59">
      <w:pPr>
        <w:rPr>
          <w:i/>
        </w:rPr>
      </w:pPr>
      <w:r>
        <w:rPr>
          <w:rStyle w:val="Appelnotedebasdep"/>
        </w:rPr>
        <w:footnoteRef/>
      </w:r>
      <w:r>
        <w:t xml:space="preserve"> </w:t>
      </w:r>
      <w:r w:rsidRPr="00C35A26">
        <w:rPr>
          <w:i/>
        </w:rPr>
        <w:t>Ces éléments sont mis à disposition du clinicien et transmis aux couples ou aux femmes non mariées pris en charge</w:t>
      </w:r>
    </w:p>
    <w:p w14:paraId="7DB039CD" w14:textId="72DA4CAE" w:rsidR="00C12B59" w:rsidRDefault="00C12B59">
      <w:pPr>
        <w:pStyle w:val="Notedebasdepage"/>
      </w:pPr>
    </w:p>
  </w:footnote>
  <w:footnote w:id="9">
    <w:p w14:paraId="41C7E942" w14:textId="77777777" w:rsidR="003E34BD" w:rsidRPr="00164992" w:rsidRDefault="003E34BD" w:rsidP="003E34BD">
      <w:pPr>
        <w:pStyle w:val="Sansinterligne"/>
        <w:rPr>
          <w:sz w:val="16"/>
          <w:szCs w:val="16"/>
        </w:rPr>
      </w:pPr>
      <w:r>
        <w:rPr>
          <w:rStyle w:val="Appelnotedebasdep"/>
        </w:rPr>
        <w:footnoteRef/>
      </w:r>
      <w:r>
        <w:t xml:space="preserve"> </w:t>
      </w:r>
      <w:r w:rsidRPr="00164992">
        <w:rPr>
          <w:sz w:val="16"/>
          <w:szCs w:val="16"/>
        </w:rPr>
        <w:t>Evènements indésirables graves associés à des soins tels que définis à l’article L. 5212-2. Décret no 2016-1606 du 25 novembre 2016 relatif à la déclaration des événements indésirables graves associés à des soins et aux structures régionales d’appui à la qualité des soins et à la sécurité des patients</w:t>
      </w:r>
    </w:p>
    <w:p w14:paraId="2D4C52EF" w14:textId="77777777" w:rsidR="003E34BD" w:rsidRDefault="003E34BD" w:rsidP="003E34BD">
      <w:pPr>
        <w:pStyle w:val="Notedebasdepage"/>
      </w:pPr>
    </w:p>
  </w:footnote>
  <w:footnote w:id="10">
    <w:p w14:paraId="6B39E7D1" w14:textId="5C89BC68" w:rsidR="00187D49" w:rsidRDefault="00187D49" w:rsidP="00187D49">
      <w:pPr>
        <w:pStyle w:val="Notedebasdepage"/>
      </w:pPr>
      <w:r>
        <w:rPr>
          <w:rStyle w:val="Appelnotedebasdep"/>
        </w:rPr>
        <w:footnoteRef/>
      </w:r>
      <w:r>
        <w:t xml:space="preserve"> </w:t>
      </w:r>
      <w:r w:rsidR="007B5C86" w:rsidRPr="007B5C86">
        <w:rPr>
          <w:sz w:val="16"/>
          <w:szCs w:val="16"/>
        </w:rPr>
        <w:t>Voir site internet</w:t>
      </w:r>
      <w:r w:rsidR="007B5C86">
        <w:t xml:space="preserve"> : </w:t>
      </w:r>
      <w:hyperlink r:id="rId5" w:history="1">
        <w:r w:rsidRPr="00317E27">
          <w:rPr>
            <w:rStyle w:val="Lienhypertexte"/>
            <w:sz w:val="16"/>
            <w:szCs w:val="16"/>
          </w:rPr>
          <w:t>Agrément des praticiens - Génétique médicale et diagnostics - Agence de la biomédecine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A0C9" w14:textId="47F5F16A" w:rsidR="0025141F" w:rsidRDefault="00487BEC" w:rsidP="0025141F">
    <w:pPr>
      <w:pStyle w:val="En-tte"/>
      <w:tabs>
        <w:tab w:val="left" w:pos="993"/>
      </w:tabs>
    </w:pPr>
    <w:r>
      <w:rPr>
        <w:noProof/>
      </w:rPr>
      <w:drawing>
        <wp:anchor distT="0" distB="0" distL="114300" distR="114300" simplePos="0" relativeHeight="251656704" behindDoc="1" locked="0" layoutInCell="1" allowOverlap="1" wp14:anchorId="25D17D83" wp14:editId="70C8D60A">
          <wp:simplePos x="0" y="0"/>
          <wp:positionH relativeFrom="column">
            <wp:posOffset>-536575</wp:posOffset>
          </wp:positionH>
          <wp:positionV relativeFrom="paragraph">
            <wp:posOffset>-445936</wp:posOffset>
          </wp:positionV>
          <wp:extent cx="2431821" cy="14859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15344" name="Image 1166115344"/>
                  <pic:cNvPicPr/>
                </pic:nvPicPr>
                <pic:blipFill>
                  <a:blip r:embed="rId1">
                    <a:extLst>
                      <a:ext uri="{28A0092B-C50C-407E-A947-70E740481C1C}">
                        <a14:useLocalDpi xmlns:a14="http://schemas.microsoft.com/office/drawing/2010/main" val="0"/>
                      </a:ext>
                    </a:extLst>
                  </a:blip>
                  <a:stretch>
                    <a:fillRect/>
                  </a:stretch>
                </pic:blipFill>
                <pic:spPr>
                  <a:xfrm>
                    <a:off x="0" y="0"/>
                    <a:ext cx="2431821" cy="1485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CCB"/>
    <w:multiLevelType w:val="hybridMultilevel"/>
    <w:tmpl w:val="69568986"/>
    <w:lvl w:ilvl="0" w:tplc="540262E4">
      <w:start w:val="1"/>
      <w:numFmt w:val="bullet"/>
      <w:lvlText w:val=""/>
      <w:lvlJc w:val="left"/>
      <w:pPr>
        <w:tabs>
          <w:tab w:val="num" w:pos="720"/>
        </w:tabs>
        <w:ind w:left="720" w:hanging="360"/>
      </w:pPr>
      <w:rPr>
        <w:rFonts w:ascii="Wingdings" w:hAnsi="Wingdings" w:hint="default"/>
      </w:rPr>
    </w:lvl>
    <w:lvl w:ilvl="1" w:tplc="41DE657A">
      <w:start w:val="1"/>
      <w:numFmt w:val="bullet"/>
      <w:lvlText w:val=""/>
      <w:lvlJc w:val="left"/>
      <w:pPr>
        <w:tabs>
          <w:tab w:val="num" w:pos="1440"/>
        </w:tabs>
        <w:ind w:left="1440" w:hanging="360"/>
      </w:pPr>
      <w:rPr>
        <w:rFonts w:ascii="Wingdings" w:hAnsi="Wingdings" w:hint="default"/>
      </w:rPr>
    </w:lvl>
    <w:lvl w:ilvl="2" w:tplc="8208D8DC">
      <w:start w:val="1"/>
      <w:numFmt w:val="bullet"/>
      <w:lvlText w:val=""/>
      <w:lvlJc w:val="left"/>
      <w:pPr>
        <w:tabs>
          <w:tab w:val="num" w:pos="2160"/>
        </w:tabs>
        <w:ind w:left="2160" w:hanging="360"/>
      </w:pPr>
      <w:rPr>
        <w:rFonts w:ascii="Wingdings" w:hAnsi="Wingdings" w:hint="default"/>
      </w:rPr>
    </w:lvl>
    <w:lvl w:ilvl="3" w:tplc="2A80F12A">
      <w:start w:val="1"/>
      <w:numFmt w:val="bullet"/>
      <w:lvlText w:val=""/>
      <w:lvlJc w:val="left"/>
      <w:pPr>
        <w:tabs>
          <w:tab w:val="num" w:pos="2880"/>
        </w:tabs>
        <w:ind w:left="2880" w:hanging="360"/>
      </w:pPr>
      <w:rPr>
        <w:rFonts w:ascii="Wingdings" w:hAnsi="Wingdings" w:hint="default"/>
      </w:rPr>
    </w:lvl>
    <w:lvl w:ilvl="4" w:tplc="59C8E4F0">
      <w:start w:val="1"/>
      <w:numFmt w:val="bullet"/>
      <w:lvlText w:val=""/>
      <w:lvlJc w:val="left"/>
      <w:pPr>
        <w:tabs>
          <w:tab w:val="num" w:pos="3600"/>
        </w:tabs>
        <w:ind w:left="3600" w:hanging="360"/>
      </w:pPr>
      <w:rPr>
        <w:rFonts w:ascii="Wingdings" w:hAnsi="Wingdings" w:hint="default"/>
      </w:rPr>
    </w:lvl>
    <w:lvl w:ilvl="5" w:tplc="77A6B4B6">
      <w:start w:val="1"/>
      <w:numFmt w:val="bullet"/>
      <w:lvlText w:val=""/>
      <w:lvlJc w:val="left"/>
      <w:pPr>
        <w:tabs>
          <w:tab w:val="num" w:pos="4320"/>
        </w:tabs>
        <w:ind w:left="4320" w:hanging="360"/>
      </w:pPr>
      <w:rPr>
        <w:rFonts w:ascii="Wingdings" w:hAnsi="Wingdings" w:hint="default"/>
      </w:rPr>
    </w:lvl>
    <w:lvl w:ilvl="6" w:tplc="3A648DEA">
      <w:start w:val="1"/>
      <w:numFmt w:val="bullet"/>
      <w:lvlText w:val=""/>
      <w:lvlJc w:val="left"/>
      <w:pPr>
        <w:tabs>
          <w:tab w:val="num" w:pos="5040"/>
        </w:tabs>
        <w:ind w:left="5040" w:hanging="360"/>
      </w:pPr>
      <w:rPr>
        <w:rFonts w:ascii="Wingdings" w:hAnsi="Wingdings" w:hint="default"/>
      </w:rPr>
    </w:lvl>
    <w:lvl w:ilvl="7" w:tplc="B1BAB20C">
      <w:start w:val="1"/>
      <w:numFmt w:val="bullet"/>
      <w:lvlText w:val=""/>
      <w:lvlJc w:val="left"/>
      <w:pPr>
        <w:tabs>
          <w:tab w:val="num" w:pos="5760"/>
        </w:tabs>
        <w:ind w:left="5760" w:hanging="360"/>
      </w:pPr>
      <w:rPr>
        <w:rFonts w:ascii="Wingdings" w:hAnsi="Wingdings" w:hint="default"/>
      </w:rPr>
    </w:lvl>
    <w:lvl w:ilvl="8" w:tplc="F1F4E85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30804"/>
    <w:multiLevelType w:val="hybridMultilevel"/>
    <w:tmpl w:val="72B04552"/>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86C41"/>
    <w:multiLevelType w:val="hybridMultilevel"/>
    <w:tmpl w:val="79369366"/>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F2E47"/>
    <w:multiLevelType w:val="hybridMultilevel"/>
    <w:tmpl w:val="5DE81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D17F80"/>
    <w:multiLevelType w:val="hybridMultilevel"/>
    <w:tmpl w:val="3FF4D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76EB2"/>
    <w:multiLevelType w:val="hybridMultilevel"/>
    <w:tmpl w:val="0338C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3564A7"/>
    <w:multiLevelType w:val="hybridMultilevel"/>
    <w:tmpl w:val="5EC64F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731382"/>
    <w:multiLevelType w:val="hybridMultilevel"/>
    <w:tmpl w:val="429839DA"/>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9D2D70"/>
    <w:multiLevelType w:val="hybridMultilevel"/>
    <w:tmpl w:val="95CAF3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0248B5"/>
    <w:multiLevelType w:val="hybridMultilevel"/>
    <w:tmpl w:val="2B105806"/>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4C4FA4"/>
    <w:multiLevelType w:val="hybridMultilevel"/>
    <w:tmpl w:val="3AE24976"/>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063C94"/>
    <w:multiLevelType w:val="hybridMultilevel"/>
    <w:tmpl w:val="93442992"/>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0C2D76"/>
    <w:multiLevelType w:val="hybridMultilevel"/>
    <w:tmpl w:val="8F0644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6F7DC3"/>
    <w:multiLevelType w:val="hybridMultilevel"/>
    <w:tmpl w:val="2C5401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873AD4"/>
    <w:multiLevelType w:val="hybridMultilevel"/>
    <w:tmpl w:val="2640C778"/>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6115C0"/>
    <w:multiLevelType w:val="hybridMultilevel"/>
    <w:tmpl w:val="56324E1A"/>
    <w:lvl w:ilvl="0" w:tplc="06927F5A">
      <w:numFmt w:val="bullet"/>
      <w:lvlText w:val="-"/>
      <w:lvlJc w:val="left"/>
      <w:pPr>
        <w:ind w:left="1130" w:hanging="360"/>
      </w:pPr>
      <w:rPr>
        <w:rFonts w:ascii="Arial" w:eastAsia="Times New Roman" w:hAnsi="Arial" w:cs="Times New Roman"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16" w15:restartNumberingAfterBreak="0">
    <w:nsid w:val="2DE97AEE"/>
    <w:multiLevelType w:val="hybridMultilevel"/>
    <w:tmpl w:val="AD1237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10F1A"/>
    <w:multiLevelType w:val="hybridMultilevel"/>
    <w:tmpl w:val="21D0876E"/>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2A0F82"/>
    <w:multiLevelType w:val="hybridMultilevel"/>
    <w:tmpl w:val="3BF0B72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0B3542"/>
    <w:multiLevelType w:val="hybridMultilevel"/>
    <w:tmpl w:val="B9742F7C"/>
    <w:lvl w:ilvl="0" w:tplc="0F44F5F0">
      <w:start w:val="1"/>
      <w:numFmt w:val="bullet"/>
      <w:lvlText w:val="●"/>
      <w:lvlJc w:val="left"/>
      <w:pPr>
        <w:ind w:left="36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314A042">
      <w:start w:val="1"/>
      <w:numFmt w:val="bullet"/>
      <w:lvlText w:val="o"/>
      <w:lvlJc w:val="left"/>
      <w:pPr>
        <w:ind w:left="10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39C4D64">
      <w:start w:val="1"/>
      <w:numFmt w:val="bullet"/>
      <w:lvlText w:val="▪"/>
      <w:lvlJc w:val="left"/>
      <w:pPr>
        <w:ind w:left="180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3E9ECA">
      <w:start w:val="1"/>
      <w:numFmt w:val="bullet"/>
      <w:lvlText w:val="●"/>
      <w:lvlJc w:val="left"/>
      <w:pPr>
        <w:ind w:left="252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F0031CA">
      <w:start w:val="1"/>
      <w:numFmt w:val="bullet"/>
      <w:lvlText w:val="o"/>
      <w:lvlJc w:val="left"/>
      <w:pPr>
        <w:ind w:left="324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0422F90">
      <w:start w:val="1"/>
      <w:numFmt w:val="bullet"/>
      <w:lvlText w:val="▪"/>
      <w:lvlJc w:val="left"/>
      <w:pPr>
        <w:ind w:left="396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420052">
      <w:start w:val="1"/>
      <w:numFmt w:val="bullet"/>
      <w:lvlText w:val="●"/>
      <w:lvlJc w:val="left"/>
      <w:pPr>
        <w:ind w:left="46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32C5E1C">
      <w:start w:val="1"/>
      <w:numFmt w:val="bullet"/>
      <w:lvlText w:val="o"/>
      <w:lvlJc w:val="left"/>
      <w:pPr>
        <w:ind w:left="540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292CDC4">
      <w:start w:val="1"/>
      <w:numFmt w:val="bullet"/>
      <w:lvlText w:val="▪"/>
      <w:lvlJc w:val="left"/>
      <w:pPr>
        <w:ind w:left="612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1D56A10"/>
    <w:multiLevelType w:val="hybridMultilevel"/>
    <w:tmpl w:val="2C5401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3004E35"/>
    <w:multiLevelType w:val="hybridMultilevel"/>
    <w:tmpl w:val="FA982F02"/>
    <w:lvl w:ilvl="0" w:tplc="DF4AAD92">
      <w:start w:val="1"/>
      <w:numFmt w:val="bullet"/>
      <w:lvlText w:val="●"/>
      <w:lvlJc w:val="left"/>
      <w:pPr>
        <w:ind w:left="36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7A69148">
      <w:start w:val="1"/>
      <w:numFmt w:val="bullet"/>
      <w:lvlText w:val="o"/>
      <w:lvlJc w:val="left"/>
      <w:pPr>
        <w:ind w:left="10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202A60">
      <w:start w:val="1"/>
      <w:numFmt w:val="bullet"/>
      <w:lvlText w:val="▪"/>
      <w:lvlJc w:val="left"/>
      <w:pPr>
        <w:ind w:left="180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A0011C">
      <w:start w:val="1"/>
      <w:numFmt w:val="bullet"/>
      <w:lvlText w:val="●"/>
      <w:lvlJc w:val="left"/>
      <w:pPr>
        <w:ind w:left="252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BDE8078">
      <w:start w:val="1"/>
      <w:numFmt w:val="bullet"/>
      <w:lvlText w:val="o"/>
      <w:lvlJc w:val="left"/>
      <w:pPr>
        <w:ind w:left="324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5A84714">
      <w:start w:val="1"/>
      <w:numFmt w:val="bullet"/>
      <w:lvlText w:val="▪"/>
      <w:lvlJc w:val="left"/>
      <w:pPr>
        <w:ind w:left="396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9CE726">
      <w:start w:val="1"/>
      <w:numFmt w:val="bullet"/>
      <w:lvlText w:val="●"/>
      <w:lvlJc w:val="left"/>
      <w:pPr>
        <w:ind w:left="46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4AE9720">
      <w:start w:val="1"/>
      <w:numFmt w:val="bullet"/>
      <w:lvlText w:val="o"/>
      <w:lvlJc w:val="left"/>
      <w:pPr>
        <w:ind w:left="540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1F6D488">
      <w:start w:val="1"/>
      <w:numFmt w:val="bullet"/>
      <w:lvlText w:val="▪"/>
      <w:lvlJc w:val="left"/>
      <w:pPr>
        <w:ind w:left="612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3284485"/>
    <w:multiLevelType w:val="hybridMultilevel"/>
    <w:tmpl w:val="EC6EFF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6C1AE7"/>
    <w:multiLevelType w:val="hybridMultilevel"/>
    <w:tmpl w:val="B0E86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6E658AB"/>
    <w:multiLevelType w:val="hybridMultilevel"/>
    <w:tmpl w:val="98207FAA"/>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D0015"/>
    <w:multiLevelType w:val="hybridMultilevel"/>
    <w:tmpl w:val="C9F8BE00"/>
    <w:lvl w:ilvl="0" w:tplc="914EF7BA">
      <w:start w:val="1"/>
      <w:numFmt w:val="bullet"/>
      <w:lvlText w:val=""/>
      <w:lvlJc w:val="left"/>
      <w:pPr>
        <w:ind w:left="720" w:hanging="360"/>
      </w:pPr>
      <w:rPr>
        <w:rFonts w:ascii="Symbol" w:hAnsi="Symbol" w:hint="default"/>
        <w:color w:val="2F5496" w:themeColor="accent1" w:themeShade="BF"/>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F65FB9"/>
    <w:multiLevelType w:val="hybridMultilevel"/>
    <w:tmpl w:val="1BC0DA0E"/>
    <w:lvl w:ilvl="0" w:tplc="7286F6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4B3BD4"/>
    <w:multiLevelType w:val="hybridMultilevel"/>
    <w:tmpl w:val="E2986770"/>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404227"/>
    <w:multiLevelType w:val="hybridMultilevel"/>
    <w:tmpl w:val="34A6333A"/>
    <w:lvl w:ilvl="0" w:tplc="1D209AF6">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430D0258"/>
    <w:multiLevelType w:val="hybridMultilevel"/>
    <w:tmpl w:val="3184E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9458F7"/>
    <w:multiLevelType w:val="hybridMultilevel"/>
    <w:tmpl w:val="AE848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AB24E27"/>
    <w:multiLevelType w:val="hybridMultilevel"/>
    <w:tmpl w:val="C1B61334"/>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245844"/>
    <w:multiLevelType w:val="hybridMultilevel"/>
    <w:tmpl w:val="F75C4298"/>
    <w:lvl w:ilvl="0" w:tplc="06927F5A">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D17E5D"/>
    <w:multiLevelType w:val="multilevel"/>
    <w:tmpl w:val="358A5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E2B0C21"/>
    <w:multiLevelType w:val="hybridMultilevel"/>
    <w:tmpl w:val="D9B490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DD2C75"/>
    <w:multiLevelType w:val="hybridMultilevel"/>
    <w:tmpl w:val="8AC2D35C"/>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EEF7E0B"/>
    <w:multiLevelType w:val="hybridMultilevel"/>
    <w:tmpl w:val="71B80E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4D2285"/>
    <w:multiLevelType w:val="hybridMultilevel"/>
    <w:tmpl w:val="DBB438D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6D91A2A"/>
    <w:multiLevelType w:val="hybridMultilevel"/>
    <w:tmpl w:val="DC1CB04E"/>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E3456F"/>
    <w:multiLevelType w:val="hybridMultilevel"/>
    <w:tmpl w:val="E3CE03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384B08"/>
    <w:multiLevelType w:val="hybridMultilevel"/>
    <w:tmpl w:val="A3CC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116662F"/>
    <w:multiLevelType w:val="hybridMultilevel"/>
    <w:tmpl w:val="D1A4384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3F0440"/>
    <w:multiLevelType w:val="hybridMultilevel"/>
    <w:tmpl w:val="589CCE6E"/>
    <w:lvl w:ilvl="0" w:tplc="1D209AF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71652F"/>
    <w:multiLevelType w:val="hybridMultilevel"/>
    <w:tmpl w:val="34C6DEB6"/>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20E7BF4"/>
    <w:multiLevelType w:val="hybridMultilevel"/>
    <w:tmpl w:val="15BE9C8A"/>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2103C6F"/>
    <w:multiLevelType w:val="hybridMultilevel"/>
    <w:tmpl w:val="780E17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28A24CB"/>
    <w:multiLevelType w:val="hybridMultilevel"/>
    <w:tmpl w:val="C5722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819553E"/>
    <w:multiLevelType w:val="hybridMultilevel"/>
    <w:tmpl w:val="D05290B2"/>
    <w:lvl w:ilvl="0" w:tplc="6AF6EAEA">
      <w:start w:val="1"/>
      <w:numFmt w:val="bullet"/>
      <w:lvlText w:val="●"/>
      <w:lvlJc w:val="left"/>
      <w:pPr>
        <w:ind w:left="36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AC0CEB8">
      <w:start w:val="1"/>
      <w:numFmt w:val="bullet"/>
      <w:lvlText w:val="o"/>
      <w:lvlJc w:val="left"/>
      <w:pPr>
        <w:ind w:left="10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E484998">
      <w:start w:val="1"/>
      <w:numFmt w:val="bullet"/>
      <w:lvlText w:val="▪"/>
      <w:lvlJc w:val="left"/>
      <w:pPr>
        <w:ind w:left="180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D20466">
      <w:start w:val="1"/>
      <w:numFmt w:val="bullet"/>
      <w:lvlText w:val="●"/>
      <w:lvlJc w:val="left"/>
      <w:pPr>
        <w:ind w:left="252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DF0FD62">
      <w:start w:val="1"/>
      <w:numFmt w:val="bullet"/>
      <w:lvlText w:val="o"/>
      <w:lvlJc w:val="left"/>
      <w:pPr>
        <w:ind w:left="324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22EC2DC">
      <w:start w:val="1"/>
      <w:numFmt w:val="bullet"/>
      <w:lvlText w:val="▪"/>
      <w:lvlJc w:val="left"/>
      <w:pPr>
        <w:ind w:left="396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92A3FC">
      <w:start w:val="1"/>
      <w:numFmt w:val="bullet"/>
      <w:lvlText w:val="●"/>
      <w:lvlJc w:val="left"/>
      <w:pPr>
        <w:ind w:left="468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DCE4F5A">
      <w:start w:val="1"/>
      <w:numFmt w:val="bullet"/>
      <w:lvlText w:val="o"/>
      <w:lvlJc w:val="left"/>
      <w:pPr>
        <w:ind w:left="5403" w:hanging="21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71E964C">
      <w:start w:val="1"/>
      <w:numFmt w:val="bullet"/>
      <w:lvlText w:val="▪"/>
      <w:lvlJc w:val="left"/>
      <w:pPr>
        <w:ind w:left="6123" w:hanging="2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96E621A"/>
    <w:multiLevelType w:val="hybridMultilevel"/>
    <w:tmpl w:val="7506F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9CD2C9B"/>
    <w:multiLevelType w:val="hybridMultilevel"/>
    <w:tmpl w:val="404E68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F5B379C"/>
    <w:multiLevelType w:val="hybridMultilevel"/>
    <w:tmpl w:val="36662EF4"/>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591A2D"/>
    <w:multiLevelType w:val="hybridMultilevel"/>
    <w:tmpl w:val="F150260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75E65417"/>
    <w:multiLevelType w:val="hybridMultilevel"/>
    <w:tmpl w:val="57109D1E"/>
    <w:lvl w:ilvl="0" w:tplc="06927F5A">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69E5810"/>
    <w:multiLevelType w:val="hybridMultilevel"/>
    <w:tmpl w:val="7EE0FDBA"/>
    <w:lvl w:ilvl="0" w:tplc="040C0003">
      <w:start w:val="1"/>
      <w:numFmt w:val="bullet"/>
      <w:lvlText w:val="o"/>
      <w:lvlJc w:val="left"/>
      <w:pPr>
        <w:ind w:left="1545" w:hanging="360"/>
      </w:pPr>
      <w:rPr>
        <w:rFonts w:ascii="Courier New" w:hAnsi="Courier New" w:cs="Courier New" w:hint="default"/>
      </w:rPr>
    </w:lvl>
    <w:lvl w:ilvl="1" w:tplc="66C0507E">
      <w:numFmt w:val="bullet"/>
      <w:lvlText w:val="–"/>
      <w:lvlJc w:val="left"/>
      <w:pPr>
        <w:ind w:left="2265" w:hanging="360"/>
      </w:pPr>
      <w:rPr>
        <w:rFonts w:ascii="Arial" w:eastAsiaTheme="minorHAnsi" w:hAnsi="Arial" w:cs="Arial"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54" w15:restartNumberingAfterBreak="0">
    <w:nsid w:val="7A1D6F42"/>
    <w:multiLevelType w:val="hybridMultilevel"/>
    <w:tmpl w:val="F25A2788"/>
    <w:lvl w:ilvl="0" w:tplc="A9943A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4"/>
  </w:num>
  <w:num w:numId="2">
    <w:abstractNumId w:val="27"/>
  </w:num>
  <w:num w:numId="3">
    <w:abstractNumId w:val="8"/>
  </w:num>
  <w:num w:numId="4">
    <w:abstractNumId w:val="9"/>
  </w:num>
  <w:num w:numId="5">
    <w:abstractNumId w:val="53"/>
  </w:num>
  <w:num w:numId="6">
    <w:abstractNumId w:val="24"/>
  </w:num>
  <w:num w:numId="7">
    <w:abstractNumId w:val="28"/>
  </w:num>
  <w:num w:numId="8">
    <w:abstractNumId w:val="52"/>
  </w:num>
  <w:num w:numId="9">
    <w:abstractNumId w:val="49"/>
  </w:num>
  <w:num w:numId="10">
    <w:abstractNumId w:val="32"/>
  </w:num>
  <w:num w:numId="11">
    <w:abstractNumId w:val="37"/>
  </w:num>
  <w:num w:numId="12">
    <w:abstractNumId w:val="12"/>
  </w:num>
  <w:num w:numId="13">
    <w:abstractNumId w:val="25"/>
  </w:num>
  <w:num w:numId="14">
    <w:abstractNumId w:val="6"/>
  </w:num>
  <w:num w:numId="15">
    <w:abstractNumId w:val="16"/>
  </w:num>
  <w:num w:numId="16">
    <w:abstractNumId w:val="36"/>
  </w:num>
  <w:num w:numId="17">
    <w:abstractNumId w:val="39"/>
  </w:num>
  <w:num w:numId="18">
    <w:abstractNumId w:val="1"/>
  </w:num>
  <w:num w:numId="19">
    <w:abstractNumId w:val="46"/>
  </w:num>
  <w:num w:numId="20">
    <w:abstractNumId w:val="34"/>
  </w:num>
  <w:num w:numId="21">
    <w:abstractNumId w:val="10"/>
  </w:num>
  <w:num w:numId="22">
    <w:abstractNumId w:val="48"/>
  </w:num>
  <w:num w:numId="23">
    <w:abstractNumId w:val="15"/>
  </w:num>
  <w:num w:numId="24">
    <w:abstractNumId w:val="51"/>
  </w:num>
  <w:num w:numId="25">
    <w:abstractNumId w:val="30"/>
  </w:num>
  <w:num w:numId="26">
    <w:abstractNumId w:val="33"/>
  </w:num>
  <w:num w:numId="27">
    <w:abstractNumId w:val="23"/>
  </w:num>
  <w:num w:numId="28">
    <w:abstractNumId w:val="47"/>
  </w:num>
  <w:num w:numId="29">
    <w:abstractNumId w:val="19"/>
  </w:num>
  <w:num w:numId="30">
    <w:abstractNumId w:val="21"/>
  </w:num>
  <w:num w:numId="31">
    <w:abstractNumId w:val="0"/>
  </w:num>
  <w:num w:numId="32">
    <w:abstractNumId w:val="17"/>
  </w:num>
  <w:num w:numId="33">
    <w:abstractNumId w:val="41"/>
  </w:num>
  <w:num w:numId="34">
    <w:abstractNumId w:val="42"/>
  </w:num>
  <w:num w:numId="35">
    <w:abstractNumId w:val="50"/>
  </w:num>
  <w:num w:numId="36">
    <w:abstractNumId w:val="35"/>
  </w:num>
  <w:num w:numId="37">
    <w:abstractNumId w:val="7"/>
  </w:num>
  <w:num w:numId="38">
    <w:abstractNumId w:val="54"/>
  </w:num>
  <w:num w:numId="39">
    <w:abstractNumId w:val="45"/>
  </w:num>
  <w:num w:numId="40">
    <w:abstractNumId w:val="22"/>
  </w:num>
  <w:num w:numId="41">
    <w:abstractNumId w:val="26"/>
  </w:num>
  <w:num w:numId="42">
    <w:abstractNumId w:val="14"/>
  </w:num>
  <w:num w:numId="43">
    <w:abstractNumId w:val="43"/>
  </w:num>
  <w:num w:numId="44">
    <w:abstractNumId w:val="38"/>
  </w:num>
  <w:num w:numId="45">
    <w:abstractNumId w:val="5"/>
  </w:num>
  <w:num w:numId="46">
    <w:abstractNumId w:val="3"/>
  </w:num>
  <w:num w:numId="47">
    <w:abstractNumId w:val="40"/>
  </w:num>
  <w:num w:numId="48">
    <w:abstractNumId w:val="4"/>
  </w:num>
  <w:num w:numId="49">
    <w:abstractNumId w:val="29"/>
  </w:num>
  <w:num w:numId="50">
    <w:abstractNumId w:val="31"/>
  </w:num>
  <w:num w:numId="51">
    <w:abstractNumId w:val="11"/>
  </w:num>
  <w:num w:numId="52">
    <w:abstractNumId w:val="2"/>
  </w:num>
  <w:num w:numId="53">
    <w:abstractNumId w:val="18"/>
  </w:num>
  <w:num w:numId="54">
    <w:abstractNumId w:val="13"/>
  </w:num>
  <w:num w:numId="5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1F"/>
    <w:rsid w:val="00002ED4"/>
    <w:rsid w:val="0000478B"/>
    <w:rsid w:val="00005A08"/>
    <w:rsid w:val="00010533"/>
    <w:rsid w:val="00014C9A"/>
    <w:rsid w:val="00014EE2"/>
    <w:rsid w:val="000234A2"/>
    <w:rsid w:val="0003170E"/>
    <w:rsid w:val="000322FB"/>
    <w:rsid w:val="00032D18"/>
    <w:rsid w:val="00041678"/>
    <w:rsid w:val="00041935"/>
    <w:rsid w:val="00044022"/>
    <w:rsid w:val="000448C8"/>
    <w:rsid w:val="000503FC"/>
    <w:rsid w:val="00066B3E"/>
    <w:rsid w:val="00066D2B"/>
    <w:rsid w:val="000705B6"/>
    <w:rsid w:val="00070936"/>
    <w:rsid w:val="00070CDF"/>
    <w:rsid w:val="0007348F"/>
    <w:rsid w:val="0007391E"/>
    <w:rsid w:val="00074B62"/>
    <w:rsid w:val="00075983"/>
    <w:rsid w:val="00082684"/>
    <w:rsid w:val="000829CB"/>
    <w:rsid w:val="00083C74"/>
    <w:rsid w:val="000872B8"/>
    <w:rsid w:val="00092FDF"/>
    <w:rsid w:val="00094F6B"/>
    <w:rsid w:val="000A2D69"/>
    <w:rsid w:val="000B3AAB"/>
    <w:rsid w:val="000B48B1"/>
    <w:rsid w:val="000B59C2"/>
    <w:rsid w:val="000B59E6"/>
    <w:rsid w:val="000B5C68"/>
    <w:rsid w:val="000B7FE0"/>
    <w:rsid w:val="000C564E"/>
    <w:rsid w:val="000C744B"/>
    <w:rsid w:val="000D0BFB"/>
    <w:rsid w:val="000D7C0C"/>
    <w:rsid w:val="000D7D6E"/>
    <w:rsid w:val="000E22AC"/>
    <w:rsid w:val="000E3CAF"/>
    <w:rsid w:val="000E5A9D"/>
    <w:rsid w:val="000E667D"/>
    <w:rsid w:val="0010080E"/>
    <w:rsid w:val="00102D36"/>
    <w:rsid w:val="00110E6C"/>
    <w:rsid w:val="00112DB6"/>
    <w:rsid w:val="00121E12"/>
    <w:rsid w:val="00127D5C"/>
    <w:rsid w:val="001306BF"/>
    <w:rsid w:val="001314F0"/>
    <w:rsid w:val="001336EB"/>
    <w:rsid w:val="00133939"/>
    <w:rsid w:val="00135E08"/>
    <w:rsid w:val="0014174E"/>
    <w:rsid w:val="00151610"/>
    <w:rsid w:val="0015187E"/>
    <w:rsid w:val="001544B8"/>
    <w:rsid w:val="00155403"/>
    <w:rsid w:val="00155B68"/>
    <w:rsid w:val="00155DA1"/>
    <w:rsid w:val="00160F8B"/>
    <w:rsid w:val="001633CB"/>
    <w:rsid w:val="00164992"/>
    <w:rsid w:val="00165399"/>
    <w:rsid w:val="001662C4"/>
    <w:rsid w:val="00167AAF"/>
    <w:rsid w:val="001715B9"/>
    <w:rsid w:val="001732BF"/>
    <w:rsid w:val="00173B99"/>
    <w:rsid w:val="00173D60"/>
    <w:rsid w:val="00174663"/>
    <w:rsid w:val="00182A43"/>
    <w:rsid w:val="001832B8"/>
    <w:rsid w:val="0018538F"/>
    <w:rsid w:val="00187C4D"/>
    <w:rsid w:val="00187D49"/>
    <w:rsid w:val="00190211"/>
    <w:rsid w:val="00191EC2"/>
    <w:rsid w:val="00192C8F"/>
    <w:rsid w:val="00197202"/>
    <w:rsid w:val="001A3910"/>
    <w:rsid w:val="001A3AA9"/>
    <w:rsid w:val="001A7B64"/>
    <w:rsid w:val="001B606C"/>
    <w:rsid w:val="001C6138"/>
    <w:rsid w:val="001C63D4"/>
    <w:rsid w:val="001E3373"/>
    <w:rsid w:val="001E40E6"/>
    <w:rsid w:val="001F230D"/>
    <w:rsid w:val="001F59A9"/>
    <w:rsid w:val="001F5A8B"/>
    <w:rsid w:val="001F76D8"/>
    <w:rsid w:val="001F79AA"/>
    <w:rsid w:val="002002D5"/>
    <w:rsid w:val="002004E3"/>
    <w:rsid w:val="002029F9"/>
    <w:rsid w:val="00203907"/>
    <w:rsid w:val="0020488F"/>
    <w:rsid w:val="0020558C"/>
    <w:rsid w:val="00207B57"/>
    <w:rsid w:val="00213A67"/>
    <w:rsid w:val="00213F96"/>
    <w:rsid w:val="0021686A"/>
    <w:rsid w:val="0022449E"/>
    <w:rsid w:val="00226A3F"/>
    <w:rsid w:val="002349E7"/>
    <w:rsid w:val="00235006"/>
    <w:rsid w:val="00235A96"/>
    <w:rsid w:val="00241CA3"/>
    <w:rsid w:val="00242863"/>
    <w:rsid w:val="00245F63"/>
    <w:rsid w:val="0025141F"/>
    <w:rsid w:val="00252B18"/>
    <w:rsid w:val="0025717A"/>
    <w:rsid w:val="0025740B"/>
    <w:rsid w:val="002623C6"/>
    <w:rsid w:val="00262A13"/>
    <w:rsid w:val="00263F86"/>
    <w:rsid w:val="00265896"/>
    <w:rsid w:val="00265B3C"/>
    <w:rsid w:val="00270CDB"/>
    <w:rsid w:val="002715A7"/>
    <w:rsid w:val="00271A4F"/>
    <w:rsid w:val="002721F8"/>
    <w:rsid w:val="00275267"/>
    <w:rsid w:val="0028326C"/>
    <w:rsid w:val="002839D8"/>
    <w:rsid w:val="002840BB"/>
    <w:rsid w:val="0028581C"/>
    <w:rsid w:val="00286510"/>
    <w:rsid w:val="002872F8"/>
    <w:rsid w:val="00287E75"/>
    <w:rsid w:val="002A461B"/>
    <w:rsid w:val="002A4BB3"/>
    <w:rsid w:val="002A6DBC"/>
    <w:rsid w:val="002B16F1"/>
    <w:rsid w:val="002B4A21"/>
    <w:rsid w:val="002B5162"/>
    <w:rsid w:val="002B5343"/>
    <w:rsid w:val="002B5AA2"/>
    <w:rsid w:val="002B6B7D"/>
    <w:rsid w:val="002C4B1D"/>
    <w:rsid w:val="002C69E0"/>
    <w:rsid w:val="002D0460"/>
    <w:rsid w:val="002D646A"/>
    <w:rsid w:val="002D6D7C"/>
    <w:rsid w:val="002D77D6"/>
    <w:rsid w:val="002D7B81"/>
    <w:rsid w:val="002E5C85"/>
    <w:rsid w:val="002F3A5F"/>
    <w:rsid w:val="002F72BC"/>
    <w:rsid w:val="002F79CD"/>
    <w:rsid w:val="00303507"/>
    <w:rsid w:val="00303E0F"/>
    <w:rsid w:val="00307FA7"/>
    <w:rsid w:val="00310143"/>
    <w:rsid w:val="00310398"/>
    <w:rsid w:val="00313A1E"/>
    <w:rsid w:val="00314332"/>
    <w:rsid w:val="003151C0"/>
    <w:rsid w:val="00315BFA"/>
    <w:rsid w:val="00317E27"/>
    <w:rsid w:val="00322685"/>
    <w:rsid w:val="003246F8"/>
    <w:rsid w:val="003303D8"/>
    <w:rsid w:val="003338BD"/>
    <w:rsid w:val="00334F30"/>
    <w:rsid w:val="00336091"/>
    <w:rsid w:val="003371E2"/>
    <w:rsid w:val="00340247"/>
    <w:rsid w:val="00353D60"/>
    <w:rsid w:val="00357D45"/>
    <w:rsid w:val="0037223A"/>
    <w:rsid w:val="00372DB9"/>
    <w:rsid w:val="00376BB8"/>
    <w:rsid w:val="00391318"/>
    <w:rsid w:val="003917DC"/>
    <w:rsid w:val="003941F3"/>
    <w:rsid w:val="0039496B"/>
    <w:rsid w:val="003A10CC"/>
    <w:rsid w:val="003A5672"/>
    <w:rsid w:val="003C2598"/>
    <w:rsid w:val="003D36BB"/>
    <w:rsid w:val="003D539F"/>
    <w:rsid w:val="003D64B2"/>
    <w:rsid w:val="003E189C"/>
    <w:rsid w:val="003E34BD"/>
    <w:rsid w:val="003E39C7"/>
    <w:rsid w:val="003E4739"/>
    <w:rsid w:val="003E4A70"/>
    <w:rsid w:val="003E7B5C"/>
    <w:rsid w:val="003F0ECB"/>
    <w:rsid w:val="003F20B1"/>
    <w:rsid w:val="00402469"/>
    <w:rsid w:val="0040398D"/>
    <w:rsid w:val="00404191"/>
    <w:rsid w:val="0041352F"/>
    <w:rsid w:val="0041497C"/>
    <w:rsid w:val="00415798"/>
    <w:rsid w:val="00415A5F"/>
    <w:rsid w:val="00417D52"/>
    <w:rsid w:val="004224CE"/>
    <w:rsid w:val="004312AA"/>
    <w:rsid w:val="00442454"/>
    <w:rsid w:val="0044366E"/>
    <w:rsid w:val="00452321"/>
    <w:rsid w:val="00475CCA"/>
    <w:rsid w:val="00476276"/>
    <w:rsid w:val="00487BEC"/>
    <w:rsid w:val="00490B2B"/>
    <w:rsid w:val="00492629"/>
    <w:rsid w:val="004A0834"/>
    <w:rsid w:val="004A0887"/>
    <w:rsid w:val="004A17C0"/>
    <w:rsid w:val="004A4428"/>
    <w:rsid w:val="004A44FB"/>
    <w:rsid w:val="004A47A7"/>
    <w:rsid w:val="004A4E83"/>
    <w:rsid w:val="004B1FE3"/>
    <w:rsid w:val="004B2B2C"/>
    <w:rsid w:val="004B36D4"/>
    <w:rsid w:val="004B399C"/>
    <w:rsid w:val="004B7B7D"/>
    <w:rsid w:val="004C61AB"/>
    <w:rsid w:val="004D2367"/>
    <w:rsid w:val="004D79F5"/>
    <w:rsid w:val="004E0460"/>
    <w:rsid w:val="004E0E06"/>
    <w:rsid w:val="004E20CC"/>
    <w:rsid w:val="004E512E"/>
    <w:rsid w:val="004E6A2B"/>
    <w:rsid w:val="004E7187"/>
    <w:rsid w:val="004E7C46"/>
    <w:rsid w:val="00501B97"/>
    <w:rsid w:val="00501DE8"/>
    <w:rsid w:val="00502864"/>
    <w:rsid w:val="00503CA3"/>
    <w:rsid w:val="005070CF"/>
    <w:rsid w:val="0051121C"/>
    <w:rsid w:val="0051243D"/>
    <w:rsid w:val="005139D3"/>
    <w:rsid w:val="00516F1B"/>
    <w:rsid w:val="00521B57"/>
    <w:rsid w:val="00530B31"/>
    <w:rsid w:val="005476D8"/>
    <w:rsid w:val="0055473E"/>
    <w:rsid w:val="005579D9"/>
    <w:rsid w:val="00562DC7"/>
    <w:rsid w:val="00564C8C"/>
    <w:rsid w:val="00564E3C"/>
    <w:rsid w:val="00566AF0"/>
    <w:rsid w:val="00571E46"/>
    <w:rsid w:val="0057354E"/>
    <w:rsid w:val="0057378D"/>
    <w:rsid w:val="00577468"/>
    <w:rsid w:val="00583EB7"/>
    <w:rsid w:val="0058472D"/>
    <w:rsid w:val="00594877"/>
    <w:rsid w:val="005A5DCE"/>
    <w:rsid w:val="005B0D91"/>
    <w:rsid w:val="005B69FC"/>
    <w:rsid w:val="005B714E"/>
    <w:rsid w:val="005C52DE"/>
    <w:rsid w:val="005D525D"/>
    <w:rsid w:val="005D596A"/>
    <w:rsid w:val="005D5F2C"/>
    <w:rsid w:val="005F06E9"/>
    <w:rsid w:val="005F1A02"/>
    <w:rsid w:val="005F1E65"/>
    <w:rsid w:val="005F260F"/>
    <w:rsid w:val="005F2E9E"/>
    <w:rsid w:val="005F3B36"/>
    <w:rsid w:val="005F489A"/>
    <w:rsid w:val="0060318D"/>
    <w:rsid w:val="00606409"/>
    <w:rsid w:val="00606FB1"/>
    <w:rsid w:val="00607F69"/>
    <w:rsid w:val="00611DCC"/>
    <w:rsid w:val="00611EBA"/>
    <w:rsid w:val="006126EF"/>
    <w:rsid w:val="006158B9"/>
    <w:rsid w:val="00617900"/>
    <w:rsid w:val="006267EE"/>
    <w:rsid w:val="006362C4"/>
    <w:rsid w:val="00647E67"/>
    <w:rsid w:val="00670A86"/>
    <w:rsid w:val="00670D3D"/>
    <w:rsid w:val="00675C15"/>
    <w:rsid w:val="00677529"/>
    <w:rsid w:val="006842F5"/>
    <w:rsid w:val="00684450"/>
    <w:rsid w:val="0069531A"/>
    <w:rsid w:val="006A1CA9"/>
    <w:rsid w:val="006A1D1A"/>
    <w:rsid w:val="006A1E4C"/>
    <w:rsid w:val="006A5189"/>
    <w:rsid w:val="006A5301"/>
    <w:rsid w:val="006A5312"/>
    <w:rsid w:val="006B4DF4"/>
    <w:rsid w:val="006C1B01"/>
    <w:rsid w:val="006C280F"/>
    <w:rsid w:val="006C286D"/>
    <w:rsid w:val="006C32FA"/>
    <w:rsid w:val="006C6530"/>
    <w:rsid w:val="006D016A"/>
    <w:rsid w:val="006D4442"/>
    <w:rsid w:val="006E04A5"/>
    <w:rsid w:val="006E34AA"/>
    <w:rsid w:val="006E447F"/>
    <w:rsid w:val="006E59B1"/>
    <w:rsid w:val="006F36EC"/>
    <w:rsid w:val="006F7684"/>
    <w:rsid w:val="007003DF"/>
    <w:rsid w:val="0070073B"/>
    <w:rsid w:val="0070309E"/>
    <w:rsid w:val="00707B34"/>
    <w:rsid w:val="0071309B"/>
    <w:rsid w:val="0072223C"/>
    <w:rsid w:val="0072562E"/>
    <w:rsid w:val="007332E3"/>
    <w:rsid w:val="00733FBB"/>
    <w:rsid w:val="00744280"/>
    <w:rsid w:val="00747EC9"/>
    <w:rsid w:val="00750BC7"/>
    <w:rsid w:val="00752049"/>
    <w:rsid w:val="00757F37"/>
    <w:rsid w:val="00770E7B"/>
    <w:rsid w:val="007721B5"/>
    <w:rsid w:val="00775E39"/>
    <w:rsid w:val="00785956"/>
    <w:rsid w:val="00787AEA"/>
    <w:rsid w:val="007913BB"/>
    <w:rsid w:val="00791EDE"/>
    <w:rsid w:val="00792691"/>
    <w:rsid w:val="0079301F"/>
    <w:rsid w:val="00797583"/>
    <w:rsid w:val="007A53A2"/>
    <w:rsid w:val="007B0442"/>
    <w:rsid w:val="007B14BC"/>
    <w:rsid w:val="007B45DA"/>
    <w:rsid w:val="007B50D9"/>
    <w:rsid w:val="007B5C86"/>
    <w:rsid w:val="007B62D6"/>
    <w:rsid w:val="007C5A28"/>
    <w:rsid w:val="007D4D4C"/>
    <w:rsid w:val="007D78A0"/>
    <w:rsid w:val="007E2EFE"/>
    <w:rsid w:val="007F3BE4"/>
    <w:rsid w:val="00800950"/>
    <w:rsid w:val="00800DA1"/>
    <w:rsid w:val="00801B92"/>
    <w:rsid w:val="00805835"/>
    <w:rsid w:val="00805F5B"/>
    <w:rsid w:val="00815DDF"/>
    <w:rsid w:val="00820BC8"/>
    <w:rsid w:val="00825D51"/>
    <w:rsid w:val="0082789D"/>
    <w:rsid w:val="008313A1"/>
    <w:rsid w:val="00832521"/>
    <w:rsid w:val="0083539F"/>
    <w:rsid w:val="00840C7F"/>
    <w:rsid w:val="0084355C"/>
    <w:rsid w:val="0085403B"/>
    <w:rsid w:val="008551B4"/>
    <w:rsid w:val="008614A8"/>
    <w:rsid w:val="0086276C"/>
    <w:rsid w:val="00862B65"/>
    <w:rsid w:val="00866A98"/>
    <w:rsid w:val="00867DFD"/>
    <w:rsid w:val="0087244F"/>
    <w:rsid w:val="00875FE2"/>
    <w:rsid w:val="0087674D"/>
    <w:rsid w:val="00880B25"/>
    <w:rsid w:val="00880C90"/>
    <w:rsid w:val="00881C6D"/>
    <w:rsid w:val="00887851"/>
    <w:rsid w:val="00892BDA"/>
    <w:rsid w:val="00892E0D"/>
    <w:rsid w:val="00895A5D"/>
    <w:rsid w:val="008A1F6A"/>
    <w:rsid w:val="008A6159"/>
    <w:rsid w:val="008B005D"/>
    <w:rsid w:val="008B18C2"/>
    <w:rsid w:val="008B2E60"/>
    <w:rsid w:val="008B421E"/>
    <w:rsid w:val="008B46E7"/>
    <w:rsid w:val="008B7473"/>
    <w:rsid w:val="008C3E49"/>
    <w:rsid w:val="008F3154"/>
    <w:rsid w:val="008F4EA1"/>
    <w:rsid w:val="008F6077"/>
    <w:rsid w:val="008F6370"/>
    <w:rsid w:val="0090439B"/>
    <w:rsid w:val="00906B26"/>
    <w:rsid w:val="00922DA2"/>
    <w:rsid w:val="00925859"/>
    <w:rsid w:val="00927BE7"/>
    <w:rsid w:val="009318E9"/>
    <w:rsid w:val="00932E2F"/>
    <w:rsid w:val="00943F34"/>
    <w:rsid w:val="00946CC8"/>
    <w:rsid w:val="00953B20"/>
    <w:rsid w:val="00954082"/>
    <w:rsid w:val="00956BD7"/>
    <w:rsid w:val="00960D51"/>
    <w:rsid w:val="00962C00"/>
    <w:rsid w:val="0096470E"/>
    <w:rsid w:val="00964F36"/>
    <w:rsid w:val="0097648B"/>
    <w:rsid w:val="00993843"/>
    <w:rsid w:val="009944EC"/>
    <w:rsid w:val="009A0288"/>
    <w:rsid w:val="009A3F08"/>
    <w:rsid w:val="009A5B45"/>
    <w:rsid w:val="009A7DFF"/>
    <w:rsid w:val="009B14E3"/>
    <w:rsid w:val="009B5C93"/>
    <w:rsid w:val="009C06E9"/>
    <w:rsid w:val="009C30FD"/>
    <w:rsid w:val="009C5DDB"/>
    <w:rsid w:val="009C6C09"/>
    <w:rsid w:val="009D0840"/>
    <w:rsid w:val="009D45AC"/>
    <w:rsid w:val="009D4953"/>
    <w:rsid w:val="009E4F5B"/>
    <w:rsid w:val="009F28D9"/>
    <w:rsid w:val="009F49CC"/>
    <w:rsid w:val="009F552E"/>
    <w:rsid w:val="009F7DC0"/>
    <w:rsid w:val="00A00B7F"/>
    <w:rsid w:val="00A0176B"/>
    <w:rsid w:val="00A13F2B"/>
    <w:rsid w:val="00A1487C"/>
    <w:rsid w:val="00A14BF9"/>
    <w:rsid w:val="00A23712"/>
    <w:rsid w:val="00A2375B"/>
    <w:rsid w:val="00A2415E"/>
    <w:rsid w:val="00A35F14"/>
    <w:rsid w:val="00A3738D"/>
    <w:rsid w:val="00A43AAB"/>
    <w:rsid w:val="00A43B4F"/>
    <w:rsid w:val="00A44267"/>
    <w:rsid w:val="00A53192"/>
    <w:rsid w:val="00A5373F"/>
    <w:rsid w:val="00A57529"/>
    <w:rsid w:val="00A60A61"/>
    <w:rsid w:val="00A65B21"/>
    <w:rsid w:val="00A66635"/>
    <w:rsid w:val="00A73E12"/>
    <w:rsid w:val="00A75E2C"/>
    <w:rsid w:val="00A920A2"/>
    <w:rsid w:val="00A94D9B"/>
    <w:rsid w:val="00A95CA4"/>
    <w:rsid w:val="00AA6CBD"/>
    <w:rsid w:val="00AB19F0"/>
    <w:rsid w:val="00AC10A2"/>
    <w:rsid w:val="00AC1600"/>
    <w:rsid w:val="00AC5575"/>
    <w:rsid w:val="00AD1084"/>
    <w:rsid w:val="00AD1870"/>
    <w:rsid w:val="00AD1F5B"/>
    <w:rsid w:val="00AD7795"/>
    <w:rsid w:val="00AE1C0F"/>
    <w:rsid w:val="00AE3993"/>
    <w:rsid w:val="00AE419C"/>
    <w:rsid w:val="00AF0AAB"/>
    <w:rsid w:val="00AF25A7"/>
    <w:rsid w:val="00AF5627"/>
    <w:rsid w:val="00AF729A"/>
    <w:rsid w:val="00B00E8D"/>
    <w:rsid w:val="00B042C7"/>
    <w:rsid w:val="00B17C96"/>
    <w:rsid w:val="00B31565"/>
    <w:rsid w:val="00B32E7E"/>
    <w:rsid w:val="00B42BE6"/>
    <w:rsid w:val="00B47749"/>
    <w:rsid w:val="00B55276"/>
    <w:rsid w:val="00B63224"/>
    <w:rsid w:val="00B758B4"/>
    <w:rsid w:val="00B75911"/>
    <w:rsid w:val="00B759AF"/>
    <w:rsid w:val="00B7611A"/>
    <w:rsid w:val="00B83FBB"/>
    <w:rsid w:val="00BA10D9"/>
    <w:rsid w:val="00BA2F96"/>
    <w:rsid w:val="00BA3A2D"/>
    <w:rsid w:val="00BA6634"/>
    <w:rsid w:val="00BB32E3"/>
    <w:rsid w:val="00BD2397"/>
    <w:rsid w:val="00BD54DA"/>
    <w:rsid w:val="00BD7F4E"/>
    <w:rsid w:val="00BF6215"/>
    <w:rsid w:val="00BF645B"/>
    <w:rsid w:val="00C01E75"/>
    <w:rsid w:val="00C037E9"/>
    <w:rsid w:val="00C04B89"/>
    <w:rsid w:val="00C12B59"/>
    <w:rsid w:val="00C13496"/>
    <w:rsid w:val="00C213C0"/>
    <w:rsid w:val="00C21BF0"/>
    <w:rsid w:val="00C2451F"/>
    <w:rsid w:val="00C2788C"/>
    <w:rsid w:val="00C3039A"/>
    <w:rsid w:val="00C33CF7"/>
    <w:rsid w:val="00C34C17"/>
    <w:rsid w:val="00C3565E"/>
    <w:rsid w:val="00C35A26"/>
    <w:rsid w:val="00C47C4A"/>
    <w:rsid w:val="00C51267"/>
    <w:rsid w:val="00C51852"/>
    <w:rsid w:val="00C53C71"/>
    <w:rsid w:val="00C62D0A"/>
    <w:rsid w:val="00C6541F"/>
    <w:rsid w:val="00C6783E"/>
    <w:rsid w:val="00C71730"/>
    <w:rsid w:val="00C722DF"/>
    <w:rsid w:val="00C7692E"/>
    <w:rsid w:val="00C813BA"/>
    <w:rsid w:val="00C81BC8"/>
    <w:rsid w:val="00C86F4B"/>
    <w:rsid w:val="00C90042"/>
    <w:rsid w:val="00C92E84"/>
    <w:rsid w:val="00C972D1"/>
    <w:rsid w:val="00CA235D"/>
    <w:rsid w:val="00CA36DC"/>
    <w:rsid w:val="00CA3D34"/>
    <w:rsid w:val="00CA53A2"/>
    <w:rsid w:val="00CA7A5F"/>
    <w:rsid w:val="00CB2BC1"/>
    <w:rsid w:val="00CB5AD9"/>
    <w:rsid w:val="00CC1171"/>
    <w:rsid w:val="00CC1301"/>
    <w:rsid w:val="00CC3267"/>
    <w:rsid w:val="00CC69FE"/>
    <w:rsid w:val="00CC7AA4"/>
    <w:rsid w:val="00CD2598"/>
    <w:rsid w:val="00CD2FC9"/>
    <w:rsid w:val="00CD42AF"/>
    <w:rsid w:val="00CD7B1B"/>
    <w:rsid w:val="00CD7FF5"/>
    <w:rsid w:val="00CE0C35"/>
    <w:rsid w:val="00CE7751"/>
    <w:rsid w:val="00CF0BB3"/>
    <w:rsid w:val="00CF642A"/>
    <w:rsid w:val="00D020DF"/>
    <w:rsid w:val="00D03DA8"/>
    <w:rsid w:val="00D05071"/>
    <w:rsid w:val="00D07663"/>
    <w:rsid w:val="00D152D8"/>
    <w:rsid w:val="00D15F44"/>
    <w:rsid w:val="00D16D22"/>
    <w:rsid w:val="00D20C24"/>
    <w:rsid w:val="00D230C7"/>
    <w:rsid w:val="00D23DA1"/>
    <w:rsid w:val="00D35148"/>
    <w:rsid w:val="00D37DFB"/>
    <w:rsid w:val="00D420BA"/>
    <w:rsid w:val="00D43C41"/>
    <w:rsid w:val="00D44459"/>
    <w:rsid w:val="00D51510"/>
    <w:rsid w:val="00D5405F"/>
    <w:rsid w:val="00D551A2"/>
    <w:rsid w:val="00D71729"/>
    <w:rsid w:val="00D71ECD"/>
    <w:rsid w:val="00D726D9"/>
    <w:rsid w:val="00D7499A"/>
    <w:rsid w:val="00D76A7C"/>
    <w:rsid w:val="00D802AE"/>
    <w:rsid w:val="00D828AF"/>
    <w:rsid w:val="00D83079"/>
    <w:rsid w:val="00D86721"/>
    <w:rsid w:val="00D915F9"/>
    <w:rsid w:val="00D94688"/>
    <w:rsid w:val="00D96E6B"/>
    <w:rsid w:val="00D9760E"/>
    <w:rsid w:val="00DA355D"/>
    <w:rsid w:val="00DA7D1F"/>
    <w:rsid w:val="00DB2CE9"/>
    <w:rsid w:val="00DB37D4"/>
    <w:rsid w:val="00DB618D"/>
    <w:rsid w:val="00DB61EE"/>
    <w:rsid w:val="00DC33E3"/>
    <w:rsid w:val="00DD4AD8"/>
    <w:rsid w:val="00DE1897"/>
    <w:rsid w:val="00DE743E"/>
    <w:rsid w:val="00DE7D30"/>
    <w:rsid w:val="00DF6E2E"/>
    <w:rsid w:val="00E12820"/>
    <w:rsid w:val="00E173EF"/>
    <w:rsid w:val="00E243C7"/>
    <w:rsid w:val="00E32BF9"/>
    <w:rsid w:val="00E42FB7"/>
    <w:rsid w:val="00E512D8"/>
    <w:rsid w:val="00E657F5"/>
    <w:rsid w:val="00E75E82"/>
    <w:rsid w:val="00E774FB"/>
    <w:rsid w:val="00E811FE"/>
    <w:rsid w:val="00E83EC6"/>
    <w:rsid w:val="00E87BC8"/>
    <w:rsid w:val="00E963CC"/>
    <w:rsid w:val="00EA369A"/>
    <w:rsid w:val="00EA3A20"/>
    <w:rsid w:val="00EA5A32"/>
    <w:rsid w:val="00EB6A11"/>
    <w:rsid w:val="00EB6CA0"/>
    <w:rsid w:val="00EC0D7D"/>
    <w:rsid w:val="00EC101C"/>
    <w:rsid w:val="00EC2856"/>
    <w:rsid w:val="00ED16B2"/>
    <w:rsid w:val="00ED22EE"/>
    <w:rsid w:val="00EE0BBE"/>
    <w:rsid w:val="00EE11FF"/>
    <w:rsid w:val="00EE39E4"/>
    <w:rsid w:val="00EE4D30"/>
    <w:rsid w:val="00EE4FAE"/>
    <w:rsid w:val="00EE6398"/>
    <w:rsid w:val="00EF3E59"/>
    <w:rsid w:val="00EF54D8"/>
    <w:rsid w:val="00EF704A"/>
    <w:rsid w:val="00F00049"/>
    <w:rsid w:val="00F00266"/>
    <w:rsid w:val="00F01266"/>
    <w:rsid w:val="00F02CD3"/>
    <w:rsid w:val="00F041DF"/>
    <w:rsid w:val="00F04E85"/>
    <w:rsid w:val="00F12A6F"/>
    <w:rsid w:val="00F142F1"/>
    <w:rsid w:val="00F204F7"/>
    <w:rsid w:val="00F237DD"/>
    <w:rsid w:val="00F26030"/>
    <w:rsid w:val="00F41EFA"/>
    <w:rsid w:val="00F4717E"/>
    <w:rsid w:val="00F475DE"/>
    <w:rsid w:val="00F5008E"/>
    <w:rsid w:val="00F52AA8"/>
    <w:rsid w:val="00F54A0C"/>
    <w:rsid w:val="00F563FB"/>
    <w:rsid w:val="00F60656"/>
    <w:rsid w:val="00F622D2"/>
    <w:rsid w:val="00F64600"/>
    <w:rsid w:val="00F648CE"/>
    <w:rsid w:val="00F64F06"/>
    <w:rsid w:val="00F659B6"/>
    <w:rsid w:val="00F7117C"/>
    <w:rsid w:val="00F72F5D"/>
    <w:rsid w:val="00F7315C"/>
    <w:rsid w:val="00F74260"/>
    <w:rsid w:val="00F77566"/>
    <w:rsid w:val="00F82F14"/>
    <w:rsid w:val="00F847C9"/>
    <w:rsid w:val="00F909CE"/>
    <w:rsid w:val="00F916C5"/>
    <w:rsid w:val="00F92BFB"/>
    <w:rsid w:val="00F96A60"/>
    <w:rsid w:val="00FA5D81"/>
    <w:rsid w:val="00FA5E66"/>
    <w:rsid w:val="00FA61D0"/>
    <w:rsid w:val="00FA660C"/>
    <w:rsid w:val="00FB0898"/>
    <w:rsid w:val="00FB1989"/>
    <w:rsid w:val="00FD47D0"/>
    <w:rsid w:val="00FD4DA3"/>
    <w:rsid w:val="00FE02A8"/>
    <w:rsid w:val="00FE56E6"/>
    <w:rsid w:val="00FF0C04"/>
    <w:rsid w:val="00FF1429"/>
    <w:rsid w:val="00FF2C6A"/>
    <w:rsid w:val="00FF5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6A24D"/>
  <w15:chartTrackingRefBased/>
  <w15:docId w15:val="{88F9BB30-6F37-4851-AEE5-19026347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3E"/>
    <w:pPr>
      <w:jc w:val="both"/>
    </w:pPr>
    <w:rPr>
      <w:rFonts w:ascii="Arial" w:hAnsi="Arial"/>
      <w:sz w:val="20"/>
    </w:rPr>
  </w:style>
  <w:style w:type="paragraph" w:styleId="Titre1">
    <w:name w:val="heading 1"/>
    <w:basedOn w:val="Normal"/>
    <w:next w:val="Normal"/>
    <w:link w:val="Titre1Car"/>
    <w:uiPriority w:val="9"/>
    <w:qFormat/>
    <w:rsid w:val="00CE7751"/>
    <w:pPr>
      <w:keepNext/>
      <w:keepLines/>
      <w:spacing w:before="240"/>
      <w:outlineLvl w:val="0"/>
    </w:pPr>
    <w:rPr>
      <w:rFonts w:ascii="Arial Gras" w:eastAsiaTheme="majorEastAsia" w:hAnsi="Arial Gras" w:cstheme="majorBidi"/>
      <w:b/>
      <w:color w:val="002060"/>
      <w:szCs w:val="32"/>
    </w:rPr>
  </w:style>
  <w:style w:type="paragraph" w:styleId="Titre2">
    <w:name w:val="heading 2"/>
    <w:basedOn w:val="Normal"/>
    <w:next w:val="Normal"/>
    <w:link w:val="Titre2Car"/>
    <w:autoRedefine/>
    <w:uiPriority w:val="9"/>
    <w:unhideWhenUsed/>
    <w:qFormat/>
    <w:rsid w:val="00CA3D34"/>
    <w:pPr>
      <w:keepNext/>
      <w:keepLines/>
      <w:spacing w:before="4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55473E"/>
    <w:pPr>
      <w:keepNext/>
      <w:keepLines/>
      <w:spacing w:before="40"/>
      <w:outlineLvl w:val="2"/>
    </w:pPr>
    <w:rPr>
      <w:rFonts w:eastAsiaTheme="majorEastAsia" w:cstheme="majorBidi"/>
      <w:color w:val="1F3763" w:themeColor="accent1" w:themeShade="7F"/>
      <w:u w:val="single"/>
    </w:rPr>
  </w:style>
  <w:style w:type="paragraph" w:styleId="Titre4">
    <w:name w:val="heading 4"/>
    <w:basedOn w:val="En-tte"/>
    <w:next w:val="Sansinterligne"/>
    <w:link w:val="Titre4Car"/>
    <w:uiPriority w:val="9"/>
    <w:unhideWhenUsed/>
    <w:qFormat/>
    <w:rsid w:val="009B14E3"/>
    <w:pPr>
      <w:keepNext/>
      <w:keepLines/>
      <w:spacing w:line="360" w:lineRule="auto"/>
      <w:outlineLvl w:val="3"/>
    </w:pPr>
    <w:rPr>
      <w:rFonts w:eastAsiaTheme="majorEastAsia" w:cstheme="majorBidi"/>
      <w:b/>
      <w:iCs/>
      <w:color w:val="002060"/>
    </w:rPr>
  </w:style>
  <w:style w:type="paragraph" w:styleId="Titre5">
    <w:name w:val="heading 5"/>
    <w:basedOn w:val="Normal"/>
    <w:next w:val="Normal"/>
    <w:link w:val="Titre5Car"/>
    <w:uiPriority w:val="9"/>
    <w:unhideWhenUsed/>
    <w:qFormat/>
    <w:rsid w:val="009B14E3"/>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141F"/>
    <w:pPr>
      <w:tabs>
        <w:tab w:val="center" w:pos="4536"/>
        <w:tab w:val="right" w:pos="9072"/>
      </w:tabs>
    </w:pPr>
  </w:style>
  <w:style w:type="character" w:customStyle="1" w:styleId="En-tteCar">
    <w:name w:val="En-tête Car"/>
    <w:basedOn w:val="Policepardfaut"/>
    <w:link w:val="En-tte"/>
    <w:uiPriority w:val="99"/>
    <w:rsid w:val="0025141F"/>
  </w:style>
  <w:style w:type="paragraph" w:styleId="Pieddepage">
    <w:name w:val="footer"/>
    <w:basedOn w:val="Normal"/>
    <w:link w:val="PieddepageCar"/>
    <w:uiPriority w:val="99"/>
    <w:unhideWhenUsed/>
    <w:rsid w:val="0025141F"/>
    <w:pPr>
      <w:tabs>
        <w:tab w:val="center" w:pos="4536"/>
        <w:tab w:val="right" w:pos="9072"/>
      </w:tabs>
    </w:pPr>
  </w:style>
  <w:style w:type="character" w:customStyle="1" w:styleId="PieddepageCar">
    <w:name w:val="Pied de page Car"/>
    <w:basedOn w:val="Policepardfaut"/>
    <w:link w:val="Pieddepage"/>
    <w:uiPriority w:val="99"/>
    <w:rsid w:val="0025141F"/>
  </w:style>
  <w:style w:type="paragraph" w:customStyle="1" w:styleId="NomPrnom">
    <w:name w:val="Nom / Prénom"/>
    <w:basedOn w:val="Normal"/>
    <w:next w:val="Normal"/>
    <w:uiPriority w:val="99"/>
    <w:rsid w:val="00CC69FE"/>
    <w:pPr>
      <w:autoSpaceDE w:val="0"/>
      <w:autoSpaceDN w:val="0"/>
      <w:adjustRightInd w:val="0"/>
      <w:spacing w:line="288" w:lineRule="auto"/>
      <w:textAlignment w:val="center"/>
    </w:pPr>
    <w:rPr>
      <w:rFonts w:ascii="DIN-Bold" w:hAnsi="DIN-Bold" w:cs="DIN-Bold"/>
      <w:b/>
      <w:bCs/>
      <w:color w:val="000000"/>
      <w:kern w:val="0"/>
      <w:sz w:val="18"/>
      <w:szCs w:val="18"/>
    </w:rPr>
  </w:style>
  <w:style w:type="paragraph" w:customStyle="1" w:styleId="Paragraphestandard">
    <w:name w:val="[Paragraphe standard]"/>
    <w:basedOn w:val="Normal"/>
    <w:uiPriority w:val="99"/>
    <w:rsid w:val="00E87BC8"/>
    <w:pPr>
      <w:autoSpaceDE w:val="0"/>
      <w:autoSpaceDN w:val="0"/>
      <w:adjustRightInd w:val="0"/>
      <w:spacing w:line="288" w:lineRule="auto"/>
      <w:textAlignment w:val="center"/>
    </w:pPr>
    <w:rPr>
      <w:rFonts w:ascii="Minion Pro" w:hAnsi="Minion Pro" w:cs="Minion Pro"/>
      <w:color w:val="000000"/>
      <w:kern w:val="0"/>
    </w:rPr>
  </w:style>
  <w:style w:type="character" w:styleId="Marquedecommentaire">
    <w:name w:val="annotation reference"/>
    <w:uiPriority w:val="99"/>
    <w:semiHidden/>
    <w:rsid w:val="006C280F"/>
    <w:rPr>
      <w:sz w:val="16"/>
      <w:szCs w:val="16"/>
    </w:rPr>
  </w:style>
  <w:style w:type="paragraph" w:styleId="Commentaire">
    <w:name w:val="annotation text"/>
    <w:basedOn w:val="Normal"/>
    <w:link w:val="CommentaireCar"/>
    <w:uiPriority w:val="99"/>
    <w:rsid w:val="006C280F"/>
    <w:rPr>
      <w:rFonts w:eastAsia="Times New Roman" w:cs="Times New Roman"/>
      <w:kern w:val="0"/>
      <w:szCs w:val="20"/>
      <w:lang w:eastAsia="fr-FR"/>
      <w14:ligatures w14:val="none"/>
    </w:rPr>
  </w:style>
  <w:style w:type="character" w:customStyle="1" w:styleId="CommentaireCar">
    <w:name w:val="Commentaire Car"/>
    <w:basedOn w:val="Policepardfaut"/>
    <w:link w:val="Commentaire"/>
    <w:uiPriority w:val="99"/>
    <w:rsid w:val="006C280F"/>
    <w:rPr>
      <w:rFonts w:ascii="Arial" w:eastAsia="Times New Roman" w:hAnsi="Arial" w:cs="Times New Roman"/>
      <w:kern w:val="0"/>
      <w:sz w:val="20"/>
      <w:szCs w:val="20"/>
      <w:lang w:eastAsia="fr-FR"/>
      <w14:ligatures w14:val="none"/>
    </w:rPr>
  </w:style>
  <w:style w:type="character" w:styleId="Numrodepage">
    <w:name w:val="page number"/>
    <w:basedOn w:val="Policepardfaut"/>
    <w:rsid w:val="006C280F"/>
  </w:style>
  <w:style w:type="paragraph" w:styleId="TM1">
    <w:name w:val="toc 1"/>
    <w:basedOn w:val="Normal"/>
    <w:next w:val="Normal"/>
    <w:autoRedefine/>
    <w:uiPriority w:val="39"/>
    <w:unhideWhenUsed/>
    <w:rsid w:val="00A60A61"/>
    <w:pPr>
      <w:spacing w:before="360" w:after="360"/>
      <w:jc w:val="left"/>
    </w:pPr>
    <w:rPr>
      <w:rFonts w:asciiTheme="minorHAnsi" w:hAnsiTheme="minorHAnsi" w:cstheme="minorHAnsi"/>
      <w:b/>
      <w:bCs/>
      <w:caps/>
      <w:sz w:val="22"/>
      <w:szCs w:val="22"/>
      <w:u w:val="single"/>
    </w:rPr>
  </w:style>
  <w:style w:type="paragraph" w:styleId="TM2">
    <w:name w:val="toc 2"/>
    <w:basedOn w:val="Normal"/>
    <w:next w:val="Normal"/>
    <w:autoRedefine/>
    <w:uiPriority w:val="39"/>
    <w:unhideWhenUsed/>
    <w:rsid w:val="00C34C17"/>
    <w:pPr>
      <w:jc w:val="left"/>
    </w:pPr>
    <w:rPr>
      <w:rFonts w:asciiTheme="minorHAnsi" w:hAnsiTheme="minorHAnsi" w:cstheme="minorHAnsi"/>
      <w:b/>
      <w:bCs/>
      <w:smallCaps/>
      <w:sz w:val="22"/>
      <w:szCs w:val="22"/>
    </w:rPr>
  </w:style>
  <w:style w:type="paragraph" w:styleId="TM3">
    <w:name w:val="toc 3"/>
    <w:basedOn w:val="Normal"/>
    <w:next w:val="Normal"/>
    <w:autoRedefine/>
    <w:uiPriority w:val="39"/>
    <w:unhideWhenUsed/>
    <w:rsid w:val="006C280F"/>
    <w:pPr>
      <w:jc w:val="left"/>
    </w:pPr>
    <w:rPr>
      <w:rFonts w:asciiTheme="minorHAnsi" w:hAnsiTheme="minorHAnsi" w:cstheme="minorHAnsi"/>
      <w:smallCaps/>
      <w:sz w:val="22"/>
      <w:szCs w:val="22"/>
    </w:rPr>
  </w:style>
  <w:style w:type="paragraph" w:styleId="TM4">
    <w:name w:val="toc 4"/>
    <w:basedOn w:val="Normal"/>
    <w:next w:val="Normal"/>
    <w:autoRedefine/>
    <w:uiPriority w:val="39"/>
    <w:unhideWhenUsed/>
    <w:rsid w:val="006C280F"/>
    <w:pPr>
      <w:jc w:val="left"/>
    </w:pPr>
    <w:rPr>
      <w:rFonts w:asciiTheme="minorHAnsi" w:hAnsiTheme="minorHAnsi" w:cstheme="minorHAnsi"/>
      <w:sz w:val="22"/>
      <w:szCs w:val="22"/>
    </w:rPr>
  </w:style>
  <w:style w:type="paragraph" w:styleId="TM5">
    <w:name w:val="toc 5"/>
    <w:basedOn w:val="Normal"/>
    <w:next w:val="Normal"/>
    <w:autoRedefine/>
    <w:uiPriority w:val="39"/>
    <w:unhideWhenUsed/>
    <w:rsid w:val="006C280F"/>
    <w:pPr>
      <w:jc w:val="left"/>
    </w:pPr>
    <w:rPr>
      <w:rFonts w:asciiTheme="minorHAnsi" w:hAnsiTheme="minorHAnsi" w:cstheme="minorHAnsi"/>
      <w:sz w:val="22"/>
      <w:szCs w:val="22"/>
    </w:rPr>
  </w:style>
  <w:style w:type="paragraph" w:styleId="TM6">
    <w:name w:val="toc 6"/>
    <w:basedOn w:val="Normal"/>
    <w:next w:val="Normal"/>
    <w:autoRedefine/>
    <w:uiPriority w:val="39"/>
    <w:unhideWhenUsed/>
    <w:rsid w:val="006C280F"/>
    <w:pPr>
      <w:jc w:val="left"/>
    </w:pPr>
    <w:rPr>
      <w:rFonts w:asciiTheme="minorHAnsi" w:hAnsiTheme="minorHAnsi" w:cstheme="minorHAnsi"/>
      <w:sz w:val="22"/>
      <w:szCs w:val="22"/>
    </w:rPr>
  </w:style>
  <w:style w:type="paragraph" w:styleId="TM7">
    <w:name w:val="toc 7"/>
    <w:basedOn w:val="Normal"/>
    <w:next w:val="Normal"/>
    <w:autoRedefine/>
    <w:uiPriority w:val="39"/>
    <w:unhideWhenUsed/>
    <w:rsid w:val="006C280F"/>
    <w:pPr>
      <w:jc w:val="left"/>
    </w:pPr>
    <w:rPr>
      <w:rFonts w:asciiTheme="minorHAnsi" w:hAnsiTheme="minorHAnsi" w:cstheme="minorHAnsi"/>
      <w:sz w:val="22"/>
      <w:szCs w:val="22"/>
    </w:rPr>
  </w:style>
  <w:style w:type="paragraph" w:styleId="TM8">
    <w:name w:val="toc 8"/>
    <w:basedOn w:val="Normal"/>
    <w:next w:val="Normal"/>
    <w:autoRedefine/>
    <w:uiPriority w:val="39"/>
    <w:unhideWhenUsed/>
    <w:rsid w:val="006C280F"/>
    <w:pPr>
      <w:jc w:val="left"/>
    </w:pPr>
    <w:rPr>
      <w:rFonts w:asciiTheme="minorHAnsi" w:hAnsiTheme="minorHAnsi" w:cstheme="minorHAnsi"/>
      <w:sz w:val="22"/>
      <w:szCs w:val="22"/>
    </w:rPr>
  </w:style>
  <w:style w:type="paragraph" w:styleId="TM9">
    <w:name w:val="toc 9"/>
    <w:basedOn w:val="Normal"/>
    <w:next w:val="Normal"/>
    <w:autoRedefine/>
    <w:uiPriority w:val="39"/>
    <w:unhideWhenUsed/>
    <w:rsid w:val="006C280F"/>
    <w:pPr>
      <w:jc w:val="left"/>
    </w:pPr>
    <w:rPr>
      <w:rFonts w:asciiTheme="minorHAnsi" w:hAnsiTheme="minorHAnsi" w:cstheme="minorHAnsi"/>
      <w:sz w:val="22"/>
      <w:szCs w:val="22"/>
    </w:rPr>
  </w:style>
  <w:style w:type="character" w:customStyle="1" w:styleId="Titre1Car">
    <w:name w:val="Titre 1 Car"/>
    <w:basedOn w:val="Policepardfaut"/>
    <w:link w:val="Titre1"/>
    <w:uiPriority w:val="9"/>
    <w:rsid w:val="00CE7751"/>
    <w:rPr>
      <w:rFonts w:ascii="Arial Gras" w:eastAsiaTheme="majorEastAsia" w:hAnsi="Arial Gras" w:cstheme="majorBidi"/>
      <w:b/>
      <w:color w:val="002060"/>
      <w:szCs w:val="32"/>
    </w:rPr>
  </w:style>
  <w:style w:type="paragraph" w:styleId="En-ttedetabledesmatires">
    <w:name w:val="TOC Heading"/>
    <w:basedOn w:val="Titre1"/>
    <w:next w:val="Normal"/>
    <w:uiPriority w:val="39"/>
    <w:unhideWhenUsed/>
    <w:qFormat/>
    <w:rsid w:val="006C280F"/>
    <w:pPr>
      <w:spacing w:line="259" w:lineRule="auto"/>
      <w:outlineLvl w:val="9"/>
    </w:pPr>
    <w:rPr>
      <w:kern w:val="0"/>
      <w:lang w:eastAsia="fr-FR"/>
      <w14:ligatures w14:val="none"/>
    </w:rPr>
  </w:style>
  <w:style w:type="character" w:styleId="Lienhypertexte">
    <w:name w:val="Hyperlink"/>
    <w:basedOn w:val="Policepardfaut"/>
    <w:uiPriority w:val="99"/>
    <w:unhideWhenUsed/>
    <w:rsid w:val="00CE7751"/>
    <w:rPr>
      <w:color w:val="0563C1" w:themeColor="hyperlink"/>
      <w:u w:val="single"/>
    </w:rPr>
  </w:style>
  <w:style w:type="character" w:customStyle="1" w:styleId="Titre3Car">
    <w:name w:val="Titre 3 Car"/>
    <w:basedOn w:val="Policepardfaut"/>
    <w:link w:val="Titre3"/>
    <w:uiPriority w:val="9"/>
    <w:rsid w:val="0055473E"/>
    <w:rPr>
      <w:rFonts w:ascii="Arial" w:eastAsiaTheme="majorEastAsia" w:hAnsi="Arial" w:cstheme="majorBidi"/>
      <w:color w:val="1F3763" w:themeColor="accent1" w:themeShade="7F"/>
      <w:sz w:val="20"/>
      <w:u w:val="single"/>
    </w:rPr>
  </w:style>
  <w:style w:type="paragraph" w:styleId="Titre">
    <w:name w:val="Title"/>
    <w:basedOn w:val="Normal"/>
    <w:link w:val="TitreCar"/>
    <w:qFormat/>
    <w:rsid w:val="00133939"/>
    <w:pPr>
      <w:widowControl w:val="0"/>
      <w:autoSpaceDE w:val="0"/>
      <w:autoSpaceDN w:val="0"/>
      <w:adjustRightInd w:val="0"/>
      <w:spacing w:line="360" w:lineRule="auto"/>
      <w:jc w:val="center"/>
    </w:pPr>
    <w:rPr>
      <w:rFonts w:eastAsia="Times New Roman" w:cs="Arial"/>
      <w:b/>
      <w:bCs/>
      <w:kern w:val="0"/>
      <w:lang w:eastAsia="fr-FR"/>
      <w14:ligatures w14:val="none"/>
    </w:rPr>
  </w:style>
  <w:style w:type="character" w:customStyle="1" w:styleId="TitreCar">
    <w:name w:val="Titre Car"/>
    <w:basedOn w:val="Policepardfaut"/>
    <w:link w:val="Titre"/>
    <w:rsid w:val="00133939"/>
    <w:rPr>
      <w:rFonts w:ascii="Arial" w:eastAsia="Times New Roman" w:hAnsi="Arial" w:cs="Arial"/>
      <w:b/>
      <w:bCs/>
      <w:kern w:val="0"/>
      <w:sz w:val="20"/>
      <w:lang w:eastAsia="fr-FR"/>
      <w14:ligatures w14:val="none"/>
    </w:rPr>
  </w:style>
  <w:style w:type="paragraph" w:styleId="Paragraphedeliste">
    <w:name w:val="List Paragraph"/>
    <w:basedOn w:val="Normal"/>
    <w:uiPriority w:val="34"/>
    <w:qFormat/>
    <w:rsid w:val="00133939"/>
    <w:pPr>
      <w:ind w:left="720"/>
      <w:contextualSpacing/>
    </w:pPr>
  </w:style>
  <w:style w:type="paragraph" w:customStyle="1" w:styleId="Default">
    <w:name w:val="Default"/>
    <w:rsid w:val="00DA7D1F"/>
    <w:pPr>
      <w:autoSpaceDE w:val="0"/>
      <w:autoSpaceDN w:val="0"/>
      <w:adjustRightInd w:val="0"/>
    </w:pPr>
    <w:rPr>
      <w:rFonts w:ascii="Times New Roman" w:eastAsia="Times New Roman" w:hAnsi="Times New Roman" w:cs="Times New Roman"/>
      <w:color w:val="000000"/>
      <w:kern w:val="0"/>
      <w:lang w:eastAsia="fr-FR"/>
      <w14:ligatures w14:val="none"/>
    </w:rPr>
  </w:style>
  <w:style w:type="character" w:customStyle="1" w:styleId="Titre2Car">
    <w:name w:val="Titre 2 Car"/>
    <w:basedOn w:val="Policepardfaut"/>
    <w:link w:val="Titre2"/>
    <w:uiPriority w:val="9"/>
    <w:rsid w:val="00CA3D34"/>
    <w:rPr>
      <w:rFonts w:ascii="Arial" w:eastAsiaTheme="majorEastAsia" w:hAnsi="Arial" w:cstheme="majorBidi"/>
      <w:b/>
      <w:sz w:val="20"/>
      <w:szCs w:val="26"/>
    </w:rPr>
  </w:style>
  <w:style w:type="table" w:styleId="Grilledutableau">
    <w:name w:val="Table Grid"/>
    <w:basedOn w:val="TableauNormal"/>
    <w:uiPriority w:val="39"/>
    <w:rsid w:val="00EA5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CC1171"/>
    <w:rPr>
      <w:rFonts w:eastAsiaTheme="minorEastAsia"/>
      <w:color w:val="2F5496" w:themeColor="accent1" w:themeShade="BF"/>
      <w:kern w:val="0"/>
      <w:sz w:val="22"/>
      <w:szCs w:val="22"/>
      <w:lang w:eastAsia="fr-F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DecimalAligned">
    <w:name w:val="Decimal Aligned"/>
    <w:basedOn w:val="Normal"/>
    <w:uiPriority w:val="40"/>
    <w:qFormat/>
    <w:rsid w:val="00415A5F"/>
    <w:pPr>
      <w:tabs>
        <w:tab w:val="decimal" w:pos="360"/>
      </w:tabs>
      <w:spacing w:after="200" w:line="276" w:lineRule="auto"/>
      <w:jc w:val="left"/>
    </w:pPr>
    <w:rPr>
      <w:rFonts w:asciiTheme="minorHAnsi" w:eastAsiaTheme="minorEastAsia" w:hAnsiTheme="minorHAnsi" w:cs="Times New Roman"/>
      <w:kern w:val="0"/>
      <w:sz w:val="22"/>
      <w:szCs w:val="22"/>
      <w:lang w:eastAsia="fr-FR"/>
      <w14:ligatures w14:val="none"/>
    </w:rPr>
  </w:style>
  <w:style w:type="character" w:styleId="Accentuationlgre">
    <w:name w:val="Subtle Emphasis"/>
    <w:uiPriority w:val="19"/>
    <w:qFormat/>
    <w:rsid w:val="006F7684"/>
    <w:rPr>
      <w:rFonts w:ascii="Arial" w:hAnsi="Arial" w:cs="Arial"/>
      <w:color w:val="273467"/>
      <w:spacing w:val="23"/>
      <w:sz w:val="52"/>
      <w:szCs w:val="52"/>
    </w:rPr>
  </w:style>
  <w:style w:type="paragraph" w:styleId="Objetducommentaire">
    <w:name w:val="annotation subject"/>
    <w:basedOn w:val="Commentaire"/>
    <w:next w:val="Commentaire"/>
    <w:link w:val="ObjetducommentaireCar"/>
    <w:uiPriority w:val="99"/>
    <w:semiHidden/>
    <w:unhideWhenUsed/>
    <w:rsid w:val="005D525D"/>
    <w:rPr>
      <w:rFonts w:eastAsiaTheme="minorHAnsi" w:cstheme="minorBidi"/>
      <w:b/>
      <w:bCs/>
      <w:kern w:val="2"/>
      <w:lang w:eastAsia="en-US"/>
      <w14:ligatures w14:val="standardContextual"/>
    </w:rPr>
  </w:style>
  <w:style w:type="character" w:customStyle="1" w:styleId="ObjetducommentaireCar">
    <w:name w:val="Objet du commentaire Car"/>
    <w:basedOn w:val="CommentaireCar"/>
    <w:link w:val="Objetducommentaire"/>
    <w:uiPriority w:val="99"/>
    <w:semiHidden/>
    <w:rsid w:val="005D525D"/>
    <w:rPr>
      <w:rFonts w:ascii="Arial" w:eastAsia="Times New Roman" w:hAnsi="Arial" w:cs="Times New Roman"/>
      <w:b/>
      <w:bCs/>
      <w:kern w:val="0"/>
      <w:sz w:val="20"/>
      <w:szCs w:val="20"/>
      <w:lang w:eastAsia="fr-FR"/>
      <w14:ligatures w14:val="none"/>
    </w:rPr>
  </w:style>
  <w:style w:type="paragraph" w:customStyle="1" w:styleId="NormalArialGras">
    <w:name w:val="Normal + Arial Gras"/>
    <w:aliases w:val="10 pt,Gras"/>
    <w:basedOn w:val="Normal"/>
    <w:rsid w:val="00501DE8"/>
    <w:pPr>
      <w:jc w:val="left"/>
    </w:pPr>
    <w:rPr>
      <w:rFonts w:ascii="Arial Gras" w:eastAsia="Times New Roman" w:hAnsi="Arial Gras" w:cs="Arial"/>
      <w:b/>
      <w:kern w:val="0"/>
      <w:szCs w:val="20"/>
      <w:lang w:eastAsia="fr-FR"/>
      <w14:ligatures w14:val="none"/>
    </w:rPr>
  </w:style>
  <w:style w:type="paragraph" w:styleId="Citationintense">
    <w:name w:val="Intense Quote"/>
    <w:basedOn w:val="Normal"/>
    <w:next w:val="Normal"/>
    <w:link w:val="CitationintenseCar"/>
    <w:uiPriority w:val="30"/>
    <w:qFormat/>
    <w:rsid w:val="006F7684"/>
    <w:pPr>
      <w:pBdr>
        <w:top w:val="single" w:sz="4" w:space="10" w:color="4472C4" w:themeColor="accent1"/>
        <w:bottom w:val="single" w:sz="4" w:space="10" w:color="4472C4" w:themeColor="accent1"/>
      </w:pBdr>
      <w:spacing w:before="360" w:after="360"/>
      <w:ind w:left="864" w:right="864"/>
      <w:jc w:val="center"/>
    </w:pPr>
    <w:rPr>
      <w:b/>
      <w:iCs/>
      <w:color w:val="002060"/>
      <w:sz w:val="52"/>
    </w:rPr>
  </w:style>
  <w:style w:type="character" w:customStyle="1" w:styleId="CitationintenseCar">
    <w:name w:val="Citation intense Car"/>
    <w:basedOn w:val="Policepardfaut"/>
    <w:link w:val="Citationintense"/>
    <w:uiPriority w:val="30"/>
    <w:rsid w:val="006F7684"/>
    <w:rPr>
      <w:rFonts w:ascii="Arial" w:hAnsi="Arial"/>
      <w:b/>
      <w:iCs/>
      <w:color w:val="002060"/>
      <w:sz w:val="52"/>
    </w:rPr>
  </w:style>
  <w:style w:type="paragraph" w:styleId="Sansinterligne">
    <w:name w:val="No Spacing"/>
    <w:uiPriority w:val="1"/>
    <w:qFormat/>
    <w:rsid w:val="006F7684"/>
    <w:pPr>
      <w:jc w:val="both"/>
    </w:pPr>
    <w:rPr>
      <w:rFonts w:ascii="Arial" w:hAnsi="Arial"/>
      <w:sz w:val="20"/>
    </w:rPr>
  </w:style>
  <w:style w:type="character" w:customStyle="1" w:styleId="Titre4Car">
    <w:name w:val="Titre 4 Car"/>
    <w:basedOn w:val="Policepardfaut"/>
    <w:link w:val="Titre4"/>
    <w:uiPriority w:val="9"/>
    <w:rsid w:val="009B14E3"/>
    <w:rPr>
      <w:rFonts w:ascii="Arial" w:eastAsiaTheme="majorEastAsia" w:hAnsi="Arial" w:cstheme="majorBidi"/>
      <w:b/>
      <w:iCs/>
      <w:color w:val="002060"/>
      <w:sz w:val="20"/>
    </w:rPr>
  </w:style>
  <w:style w:type="paragraph" w:customStyle="1" w:styleId="options-item">
    <w:name w:val="options-item"/>
    <w:basedOn w:val="Normal"/>
    <w:rsid w:val="00CC1301"/>
    <w:pPr>
      <w:spacing w:before="100" w:beforeAutospacing="1" w:after="100" w:afterAutospacing="1"/>
      <w:jc w:val="left"/>
    </w:pPr>
    <w:rPr>
      <w:rFonts w:ascii="Times New Roman" w:eastAsia="Times New Roman" w:hAnsi="Times New Roman" w:cs="Times New Roman"/>
      <w:kern w:val="0"/>
      <w:sz w:val="24"/>
      <w:lang w:eastAsia="fr-FR"/>
      <w14:ligatures w14:val="none"/>
    </w:rPr>
  </w:style>
  <w:style w:type="character" w:customStyle="1" w:styleId="text">
    <w:name w:val="text"/>
    <w:basedOn w:val="Policepardfaut"/>
    <w:rsid w:val="00CC1301"/>
  </w:style>
  <w:style w:type="character" w:styleId="CitationHTML">
    <w:name w:val="HTML Cite"/>
    <w:basedOn w:val="Policepardfaut"/>
    <w:uiPriority w:val="99"/>
    <w:unhideWhenUsed/>
    <w:rsid w:val="00747EC9"/>
    <w:rPr>
      <w:i/>
      <w:iCs/>
    </w:rPr>
  </w:style>
  <w:style w:type="paragraph" w:styleId="Rvision">
    <w:name w:val="Revision"/>
    <w:hidden/>
    <w:uiPriority w:val="99"/>
    <w:semiHidden/>
    <w:rsid w:val="00EE4D30"/>
    <w:rPr>
      <w:rFonts w:ascii="Arial" w:hAnsi="Arial"/>
      <w:sz w:val="20"/>
    </w:rPr>
  </w:style>
  <w:style w:type="paragraph" w:styleId="Notedebasdepage">
    <w:name w:val="footnote text"/>
    <w:basedOn w:val="Normal"/>
    <w:link w:val="NotedebasdepageCar"/>
    <w:uiPriority w:val="99"/>
    <w:semiHidden/>
    <w:unhideWhenUsed/>
    <w:rsid w:val="00D726D9"/>
    <w:rPr>
      <w:szCs w:val="20"/>
    </w:rPr>
  </w:style>
  <w:style w:type="character" w:customStyle="1" w:styleId="NotedebasdepageCar">
    <w:name w:val="Note de bas de page Car"/>
    <w:basedOn w:val="Policepardfaut"/>
    <w:link w:val="Notedebasdepage"/>
    <w:uiPriority w:val="99"/>
    <w:semiHidden/>
    <w:rsid w:val="00D726D9"/>
    <w:rPr>
      <w:rFonts w:ascii="Arial" w:hAnsi="Arial"/>
      <w:sz w:val="20"/>
      <w:szCs w:val="20"/>
    </w:rPr>
  </w:style>
  <w:style w:type="character" w:styleId="Appelnotedebasdep">
    <w:name w:val="footnote reference"/>
    <w:basedOn w:val="Policepardfaut"/>
    <w:uiPriority w:val="99"/>
    <w:semiHidden/>
    <w:unhideWhenUsed/>
    <w:rsid w:val="00D726D9"/>
    <w:rPr>
      <w:vertAlign w:val="superscript"/>
    </w:rPr>
  </w:style>
  <w:style w:type="character" w:styleId="Mentionnonrsolue">
    <w:name w:val="Unresolved Mention"/>
    <w:basedOn w:val="Policepardfaut"/>
    <w:uiPriority w:val="99"/>
    <w:semiHidden/>
    <w:unhideWhenUsed/>
    <w:rsid w:val="002F79CD"/>
    <w:rPr>
      <w:color w:val="605E5C"/>
      <w:shd w:val="clear" w:color="auto" w:fill="E1DFDD"/>
    </w:rPr>
  </w:style>
  <w:style w:type="character" w:styleId="Lienhypertextesuivivisit">
    <w:name w:val="FollowedHyperlink"/>
    <w:basedOn w:val="Policepardfaut"/>
    <w:uiPriority w:val="99"/>
    <w:semiHidden/>
    <w:unhideWhenUsed/>
    <w:rsid w:val="007B50D9"/>
    <w:rPr>
      <w:color w:val="954F72" w:themeColor="followedHyperlink"/>
      <w:u w:val="single"/>
    </w:rPr>
  </w:style>
  <w:style w:type="paragraph" w:styleId="NormalWeb">
    <w:name w:val="Normal (Web)"/>
    <w:basedOn w:val="Normal"/>
    <w:uiPriority w:val="99"/>
    <w:unhideWhenUsed/>
    <w:rsid w:val="00165399"/>
    <w:pPr>
      <w:spacing w:before="100" w:beforeAutospacing="1" w:after="100" w:afterAutospacing="1"/>
      <w:jc w:val="left"/>
    </w:pPr>
    <w:rPr>
      <w:rFonts w:ascii="Times New Roman" w:eastAsia="Times New Roman" w:hAnsi="Times New Roman" w:cs="Times New Roman"/>
      <w:kern w:val="0"/>
      <w:sz w:val="24"/>
      <w:lang w:eastAsia="fr-FR"/>
      <w14:ligatures w14:val="none"/>
    </w:rPr>
  </w:style>
  <w:style w:type="table" w:customStyle="1" w:styleId="TableNormal">
    <w:name w:val="Table Normal"/>
    <w:rsid w:val="00CE0C35"/>
    <w:pPr>
      <w:pBdr>
        <w:top w:val="nil"/>
        <w:left w:val="nil"/>
        <w:bottom w:val="nil"/>
        <w:right w:val="nil"/>
        <w:between w:val="nil"/>
        <w:bar w:val="nil"/>
      </w:pBdr>
    </w:pPr>
    <w:rPr>
      <w:rFonts w:ascii="Times New Roman" w:eastAsia="Arial Unicode MS" w:hAnsi="Times New Roman" w:cs="Times New Roman"/>
      <w:kern w:val="0"/>
      <w:sz w:val="20"/>
      <w:szCs w:val="20"/>
      <w:bdr w:val="nil"/>
      <w:lang w:eastAsia="fr-FR"/>
      <w14:ligatures w14:val="none"/>
    </w:rPr>
    <w:tblPr>
      <w:tblInd w:w="0" w:type="dxa"/>
      <w:tblCellMar>
        <w:top w:w="0" w:type="dxa"/>
        <w:left w:w="0" w:type="dxa"/>
        <w:bottom w:w="0" w:type="dxa"/>
        <w:right w:w="0" w:type="dxa"/>
      </w:tblCellMar>
    </w:tblPr>
  </w:style>
  <w:style w:type="paragraph" w:customStyle="1" w:styleId="Corps">
    <w:name w:val="Corps"/>
    <w:rsid w:val="00CE0C35"/>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de-DE" w:eastAsia="fr-FR"/>
      <w14:ligatures w14:val="none"/>
    </w:rPr>
  </w:style>
  <w:style w:type="character" w:customStyle="1" w:styleId="Aucun">
    <w:name w:val="Aucun"/>
    <w:rsid w:val="00CE0C35"/>
  </w:style>
  <w:style w:type="paragraph" w:styleId="Corpsdetexte">
    <w:name w:val="Body Text"/>
    <w:basedOn w:val="Normal"/>
    <w:link w:val="CorpsdetexteCar"/>
    <w:uiPriority w:val="1"/>
    <w:qFormat/>
    <w:rsid w:val="00AB19F0"/>
    <w:pPr>
      <w:widowControl w:val="0"/>
      <w:autoSpaceDE w:val="0"/>
      <w:autoSpaceDN w:val="0"/>
      <w:ind w:left="142" w:right="139" w:firstLine="215"/>
    </w:pPr>
    <w:rPr>
      <w:rFonts w:ascii="Times New Roman" w:eastAsia="Times New Roman" w:hAnsi="Times New Roman" w:cs="Times New Roman"/>
      <w:kern w:val="0"/>
      <w:sz w:val="21"/>
      <w:szCs w:val="21"/>
      <w14:ligatures w14:val="none"/>
    </w:rPr>
  </w:style>
  <w:style w:type="character" w:customStyle="1" w:styleId="CorpsdetexteCar">
    <w:name w:val="Corps de texte Car"/>
    <w:basedOn w:val="Policepardfaut"/>
    <w:link w:val="Corpsdetexte"/>
    <w:uiPriority w:val="1"/>
    <w:rsid w:val="00AB19F0"/>
    <w:rPr>
      <w:rFonts w:ascii="Times New Roman" w:eastAsia="Times New Roman" w:hAnsi="Times New Roman" w:cs="Times New Roman"/>
      <w:kern w:val="0"/>
      <w:sz w:val="21"/>
      <w:szCs w:val="21"/>
      <w14:ligatures w14:val="none"/>
    </w:rPr>
  </w:style>
  <w:style w:type="character" w:styleId="lev">
    <w:name w:val="Strong"/>
    <w:basedOn w:val="Policepardfaut"/>
    <w:uiPriority w:val="22"/>
    <w:qFormat/>
    <w:rsid w:val="008B18C2"/>
    <w:rPr>
      <w:b/>
      <w:bCs/>
    </w:rPr>
  </w:style>
  <w:style w:type="character" w:customStyle="1" w:styleId="gstkn">
    <w:name w:val="gs_tkn"/>
    <w:basedOn w:val="Policepardfaut"/>
    <w:rsid w:val="007D78A0"/>
  </w:style>
  <w:style w:type="paragraph" w:customStyle="1" w:styleId="name-article">
    <w:name w:val="name-article"/>
    <w:basedOn w:val="Normal"/>
    <w:rsid w:val="008B005D"/>
    <w:pPr>
      <w:spacing w:before="100" w:beforeAutospacing="1" w:after="100" w:afterAutospacing="1"/>
      <w:jc w:val="left"/>
    </w:pPr>
    <w:rPr>
      <w:rFonts w:ascii="Times New Roman" w:eastAsia="Times New Roman" w:hAnsi="Times New Roman" w:cs="Times New Roman"/>
      <w:kern w:val="0"/>
      <w:sz w:val="24"/>
      <w:lang w:eastAsia="fr-FR"/>
      <w14:ligatures w14:val="none"/>
    </w:rPr>
  </w:style>
  <w:style w:type="paragraph" w:customStyle="1" w:styleId="Date1">
    <w:name w:val="Date1"/>
    <w:basedOn w:val="Normal"/>
    <w:rsid w:val="008B005D"/>
    <w:pPr>
      <w:spacing w:before="100" w:beforeAutospacing="1" w:after="100" w:afterAutospacing="1"/>
      <w:jc w:val="left"/>
    </w:pPr>
    <w:rPr>
      <w:rFonts w:ascii="Times New Roman" w:eastAsia="Times New Roman" w:hAnsi="Times New Roman" w:cs="Times New Roman"/>
      <w:kern w:val="0"/>
      <w:sz w:val="24"/>
      <w:lang w:eastAsia="fr-FR"/>
      <w14:ligatures w14:val="none"/>
    </w:rPr>
  </w:style>
  <w:style w:type="character" w:customStyle="1" w:styleId="Titre5Car">
    <w:name w:val="Titre 5 Car"/>
    <w:basedOn w:val="Policepardfaut"/>
    <w:link w:val="Titre5"/>
    <w:uiPriority w:val="9"/>
    <w:rsid w:val="009B14E3"/>
    <w:rPr>
      <w:rFonts w:asciiTheme="majorHAnsi" w:eastAsiaTheme="majorEastAsia" w:hAnsiTheme="majorHAnsi" w:cstheme="majorBidi"/>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6573">
      <w:bodyDiv w:val="1"/>
      <w:marLeft w:val="0"/>
      <w:marRight w:val="0"/>
      <w:marTop w:val="0"/>
      <w:marBottom w:val="0"/>
      <w:divBdr>
        <w:top w:val="none" w:sz="0" w:space="0" w:color="auto"/>
        <w:left w:val="none" w:sz="0" w:space="0" w:color="auto"/>
        <w:bottom w:val="none" w:sz="0" w:space="0" w:color="auto"/>
        <w:right w:val="none" w:sz="0" w:space="0" w:color="auto"/>
      </w:divBdr>
    </w:div>
    <w:div w:id="278878242">
      <w:bodyDiv w:val="1"/>
      <w:marLeft w:val="0"/>
      <w:marRight w:val="0"/>
      <w:marTop w:val="0"/>
      <w:marBottom w:val="0"/>
      <w:divBdr>
        <w:top w:val="none" w:sz="0" w:space="0" w:color="auto"/>
        <w:left w:val="none" w:sz="0" w:space="0" w:color="auto"/>
        <w:bottom w:val="none" w:sz="0" w:space="0" w:color="auto"/>
        <w:right w:val="none" w:sz="0" w:space="0" w:color="auto"/>
      </w:divBdr>
    </w:div>
    <w:div w:id="381172119">
      <w:bodyDiv w:val="1"/>
      <w:marLeft w:val="0"/>
      <w:marRight w:val="0"/>
      <w:marTop w:val="0"/>
      <w:marBottom w:val="0"/>
      <w:divBdr>
        <w:top w:val="none" w:sz="0" w:space="0" w:color="auto"/>
        <w:left w:val="none" w:sz="0" w:space="0" w:color="auto"/>
        <w:bottom w:val="none" w:sz="0" w:space="0" w:color="auto"/>
        <w:right w:val="none" w:sz="0" w:space="0" w:color="auto"/>
      </w:divBdr>
    </w:div>
    <w:div w:id="688481918">
      <w:bodyDiv w:val="1"/>
      <w:marLeft w:val="0"/>
      <w:marRight w:val="0"/>
      <w:marTop w:val="0"/>
      <w:marBottom w:val="0"/>
      <w:divBdr>
        <w:top w:val="none" w:sz="0" w:space="0" w:color="auto"/>
        <w:left w:val="none" w:sz="0" w:space="0" w:color="auto"/>
        <w:bottom w:val="none" w:sz="0" w:space="0" w:color="auto"/>
        <w:right w:val="none" w:sz="0" w:space="0" w:color="auto"/>
      </w:divBdr>
    </w:div>
    <w:div w:id="768502576">
      <w:bodyDiv w:val="1"/>
      <w:marLeft w:val="0"/>
      <w:marRight w:val="0"/>
      <w:marTop w:val="0"/>
      <w:marBottom w:val="0"/>
      <w:divBdr>
        <w:top w:val="none" w:sz="0" w:space="0" w:color="auto"/>
        <w:left w:val="none" w:sz="0" w:space="0" w:color="auto"/>
        <w:bottom w:val="none" w:sz="0" w:space="0" w:color="auto"/>
        <w:right w:val="none" w:sz="0" w:space="0" w:color="auto"/>
      </w:divBdr>
    </w:div>
    <w:div w:id="830409486">
      <w:bodyDiv w:val="1"/>
      <w:marLeft w:val="0"/>
      <w:marRight w:val="0"/>
      <w:marTop w:val="0"/>
      <w:marBottom w:val="0"/>
      <w:divBdr>
        <w:top w:val="none" w:sz="0" w:space="0" w:color="auto"/>
        <w:left w:val="none" w:sz="0" w:space="0" w:color="auto"/>
        <w:bottom w:val="none" w:sz="0" w:space="0" w:color="auto"/>
        <w:right w:val="none" w:sz="0" w:space="0" w:color="auto"/>
      </w:divBdr>
    </w:div>
    <w:div w:id="967322900">
      <w:bodyDiv w:val="1"/>
      <w:marLeft w:val="0"/>
      <w:marRight w:val="0"/>
      <w:marTop w:val="0"/>
      <w:marBottom w:val="0"/>
      <w:divBdr>
        <w:top w:val="none" w:sz="0" w:space="0" w:color="auto"/>
        <w:left w:val="none" w:sz="0" w:space="0" w:color="auto"/>
        <w:bottom w:val="none" w:sz="0" w:space="0" w:color="auto"/>
        <w:right w:val="none" w:sz="0" w:space="0" w:color="auto"/>
      </w:divBdr>
    </w:div>
    <w:div w:id="1009796374">
      <w:bodyDiv w:val="1"/>
      <w:marLeft w:val="0"/>
      <w:marRight w:val="0"/>
      <w:marTop w:val="0"/>
      <w:marBottom w:val="0"/>
      <w:divBdr>
        <w:top w:val="none" w:sz="0" w:space="0" w:color="auto"/>
        <w:left w:val="none" w:sz="0" w:space="0" w:color="auto"/>
        <w:bottom w:val="none" w:sz="0" w:space="0" w:color="auto"/>
        <w:right w:val="none" w:sz="0" w:space="0" w:color="auto"/>
      </w:divBdr>
      <w:divsChild>
        <w:div w:id="1323657065">
          <w:marLeft w:val="0"/>
          <w:marRight w:val="0"/>
          <w:marTop w:val="0"/>
          <w:marBottom w:val="0"/>
          <w:divBdr>
            <w:top w:val="none" w:sz="0" w:space="0" w:color="auto"/>
            <w:left w:val="none" w:sz="0" w:space="0" w:color="auto"/>
            <w:bottom w:val="none" w:sz="0" w:space="0" w:color="auto"/>
            <w:right w:val="none" w:sz="0" w:space="0" w:color="auto"/>
          </w:divBdr>
          <w:divsChild>
            <w:div w:id="1606494169">
              <w:marLeft w:val="0"/>
              <w:marRight w:val="0"/>
              <w:marTop w:val="0"/>
              <w:marBottom w:val="0"/>
              <w:divBdr>
                <w:top w:val="none" w:sz="0" w:space="0" w:color="auto"/>
                <w:left w:val="none" w:sz="0" w:space="0" w:color="auto"/>
                <w:bottom w:val="none" w:sz="0" w:space="0" w:color="auto"/>
                <w:right w:val="none" w:sz="0" w:space="0" w:color="auto"/>
              </w:divBdr>
            </w:div>
          </w:divsChild>
        </w:div>
        <w:div w:id="2102673552">
          <w:marLeft w:val="0"/>
          <w:marRight w:val="0"/>
          <w:marTop w:val="0"/>
          <w:marBottom w:val="0"/>
          <w:divBdr>
            <w:top w:val="none" w:sz="0" w:space="0" w:color="auto"/>
            <w:left w:val="none" w:sz="0" w:space="0" w:color="auto"/>
            <w:bottom w:val="none" w:sz="0" w:space="0" w:color="auto"/>
            <w:right w:val="none" w:sz="0" w:space="0" w:color="auto"/>
          </w:divBdr>
          <w:divsChild>
            <w:div w:id="1626276370">
              <w:marLeft w:val="0"/>
              <w:marRight w:val="0"/>
              <w:marTop w:val="0"/>
              <w:marBottom w:val="0"/>
              <w:divBdr>
                <w:top w:val="none" w:sz="0" w:space="0" w:color="auto"/>
                <w:left w:val="none" w:sz="0" w:space="0" w:color="auto"/>
                <w:bottom w:val="none" w:sz="0" w:space="0" w:color="auto"/>
                <w:right w:val="none" w:sz="0" w:space="0" w:color="auto"/>
              </w:divBdr>
              <w:divsChild>
                <w:div w:id="12307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98582">
      <w:bodyDiv w:val="1"/>
      <w:marLeft w:val="0"/>
      <w:marRight w:val="0"/>
      <w:marTop w:val="0"/>
      <w:marBottom w:val="0"/>
      <w:divBdr>
        <w:top w:val="none" w:sz="0" w:space="0" w:color="auto"/>
        <w:left w:val="none" w:sz="0" w:space="0" w:color="auto"/>
        <w:bottom w:val="none" w:sz="0" w:space="0" w:color="auto"/>
        <w:right w:val="none" w:sz="0" w:space="0" w:color="auto"/>
      </w:divBdr>
    </w:div>
    <w:div w:id="1472945347">
      <w:bodyDiv w:val="1"/>
      <w:marLeft w:val="0"/>
      <w:marRight w:val="0"/>
      <w:marTop w:val="0"/>
      <w:marBottom w:val="0"/>
      <w:divBdr>
        <w:top w:val="none" w:sz="0" w:space="0" w:color="auto"/>
        <w:left w:val="none" w:sz="0" w:space="0" w:color="auto"/>
        <w:bottom w:val="none" w:sz="0" w:space="0" w:color="auto"/>
        <w:right w:val="none" w:sz="0" w:space="0" w:color="auto"/>
      </w:divBdr>
    </w:div>
    <w:div w:id="1478759875">
      <w:bodyDiv w:val="1"/>
      <w:marLeft w:val="0"/>
      <w:marRight w:val="0"/>
      <w:marTop w:val="0"/>
      <w:marBottom w:val="0"/>
      <w:divBdr>
        <w:top w:val="none" w:sz="0" w:space="0" w:color="auto"/>
        <w:left w:val="none" w:sz="0" w:space="0" w:color="auto"/>
        <w:bottom w:val="none" w:sz="0" w:space="0" w:color="auto"/>
        <w:right w:val="none" w:sz="0" w:space="0" w:color="auto"/>
      </w:divBdr>
    </w:div>
    <w:div w:id="1629972158">
      <w:bodyDiv w:val="1"/>
      <w:marLeft w:val="0"/>
      <w:marRight w:val="0"/>
      <w:marTop w:val="0"/>
      <w:marBottom w:val="0"/>
      <w:divBdr>
        <w:top w:val="none" w:sz="0" w:space="0" w:color="auto"/>
        <w:left w:val="none" w:sz="0" w:space="0" w:color="auto"/>
        <w:bottom w:val="none" w:sz="0" w:space="0" w:color="auto"/>
        <w:right w:val="none" w:sz="0" w:space="0" w:color="auto"/>
      </w:divBdr>
    </w:div>
    <w:div w:id="1845171248">
      <w:bodyDiv w:val="1"/>
      <w:marLeft w:val="0"/>
      <w:marRight w:val="0"/>
      <w:marTop w:val="0"/>
      <w:marBottom w:val="0"/>
      <w:divBdr>
        <w:top w:val="none" w:sz="0" w:space="0" w:color="auto"/>
        <w:left w:val="none" w:sz="0" w:space="0" w:color="auto"/>
        <w:bottom w:val="none" w:sz="0" w:space="0" w:color="auto"/>
        <w:right w:val="none" w:sz="0" w:space="0" w:color="auto"/>
      </w:divBdr>
    </w:div>
    <w:div w:id="2008944586">
      <w:bodyDiv w:val="1"/>
      <w:marLeft w:val="0"/>
      <w:marRight w:val="0"/>
      <w:marTop w:val="0"/>
      <w:marBottom w:val="0"/>
      <w:divBdr>
        <w:top w:val="none" w:sz="0" w:space="0" w:color="auto"/>
        <w:left w:val="none" w:sz="0" w:space="0" w:color="auto"/>
        <w:bottom w:val="none" w:sz="0" w:space="0" w:color="auto"/>
        <w:right w:val="none" w:sz="0" w:space="0" w:color="auto"/>
      </w:divBdr>
    </w:div>
    <w:div w:id="20679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jorf/id/JORFTEXT0000515078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665&amp;idArticle=LEGIARTI000006911307&amp;dateTexte=&amp;categorieLien=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affichCodeArticle.do?cidTexte=LEGITEXT000006072665&amp;idArticle=LEGIARTI000006687397&amp;dateTexte=&amp;categorieLien=c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jorf/id/JORFTEXT00004817864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affichCodeArticle.do?cidTexte=LEGITEXT000006072665&amp;idArticle=LEGIARTI000006687441&amp;dateTexte=&amp;categorieLien=cid" TargetMode="External"/><Relationship Id="rId2" Type="http://schemas.openxmlformats.org/officeDocument/2006/relationships/hyperlink" Target="https://www.legifrance.gouv.fr/affichCodeArticle.do?cidTexte=LEGITEXT000006072665&amp;idArticle=LEGIARTI000006911307&amp;dateTexte=&amp;categorieLien=cid" TargetMode="External"/><Relationship Id="rId1" Type="http://schemas.openxmlformats.org/officeDocument/2006/relationships/hyperlink" Target="https://www.legifrance.gouv.fr/affichCodeArticle.do?cidTexte=LEGITEXT000006072665&amp;idArticle=LEGIARTI000006687039&amp;dateTexte=&amp;categorieLien=cid" TargetMode="External"/><Relationship Id="rId5" Type="http://schemas.openxmlformats.org/officeDocument/2006/relationships/hyperlink" Target="https://www.agence-biomedecine.fr/fr/genetique-medicale-et-diagnostics/agrement-des-praticiens" TargetMode="External"/><Relationship Id="rId4" Type="http://schemas.openxmlformats.org/officeDocument/2006/relationships/hyperlink" Target="https://www.legifrance.gouv.fr/affichCodeArticle.do?cidTexte=LEGITEXT000006072665&amp;idArticle=LEGIARTI000006687390&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Espace_réservé1</b:Tag>
    <b:SourceType>Misc</b:SourceType>
    <b:Guid>{CA5E4147-705C-476D-80FA-4B63023C7FC7}</b:Guid>
    <b:RefOrder>1</b:RefOrder>
  </b:Source>
</b:Sources>
</file>

<file path=customXml/itemProps1.xml><?xml version="1.0" encoding="utf-8"?>
<ds:datastoreItem xmlns:ds="http://schemas.openxmlformats.org/officeDocument/2006/customXml" ds:itemID="{2B459E77-32FC-4E1C-A9AC-6B8554A1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24</Pages>
  <Words>8966</Words>
  <Characters>49315</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BEGUET Mathilde</cp:lastModifiedBy>
  <cp:revision>24</cp:revision>
  <cp:lastPrinted>2024-12-17T11:10:00Z</cp:lastPrinted>
  <dcterms:created xsi:type="dcterms:W3CDTF">2025-10-09T10:40:00Z</dcterms:created>
  <dcterms:modified xsi:type="dcterms:W3CDTF">2026-01-12T18:23:00Z</dcterms:modified>
</cp:coreProperties>
</file>