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E80DF0">
        <w:trPr>
          <w:cantSplit/>
        </w:trPr>
        <w:tc>
          <w:tcPr>
            <w:tcW w:w="9051" w:type="dxa"/>
            <w:tcBorders>
              <w:top w:val="nil"/>
              <w:left w:val="nil"/>
              <w:bottom w:val="nil"/>
              <w:right w:val="nil"/>
            </w:tcBorders>
            <w:shd w:val="clear" w:color="auto" w:fill="FFFFFF"/>
          </w:tcPr>
          <w:p w:rsidR="00E80DF0" w:rsidRDefault="00684888">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GUADELOUPE</w:t>
            </w:r>
          </w:p>
        </w:tc>
      </w:tr>
      <w:tr w:rsidR="00E80DF0">
        <w:tblPrEx>
          <w:jc w:val="center"/>
        </w:tblPrEx>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E80DF0">
        <w:tblPrEx>
          <w:jc w:val="center"/>
        </w:tblPrEx>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E80DF0">
        <w:tblPrEx>
          <w:jc w:val="center"/>
        </w:tblPrEx>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E80DF0">
        <w:tblPrEx>
          <w:jc w:val="center"/>
        </w:tblPrEx>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E80DF0">
        <w:tblPrEx>
          <w:jc w:val="center"/>
        </w:tblPrEx>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E80DF0" w:rsidRDefault="00E80DF0">
      <w:pPr>
        <w:adjustRightInd w:val="0"/>
        <w:rPr>
          <w:rFonts w:ascii="Arial" w:hAnsi="Arial" w:cs="Arial"/>
          <w:color w:val="000000"/>
          <w:sz w:val="22"/>
          <w:szCs w:val="22"/>
        </w:rPr>
        <w:sectPr w:rsidR="00E80DF0">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E80DF0">
        <w:trPr>
          <w:cantSplit/>
          <w:jc w:val="center"/>
        </w:trPr>
        <w:tc>
          <w:tcPr>
            <w:tcW w:w="9051" w:type="dxa"/>
            <w:gridSpan w:val="2"/>
            <w:tcBorders>
              <w:top w:val="nil"/>
              <w:left w:val="nil"/>
              <w:bottom w:val="nil"/>
              <w:right w:val="nil"/>
            </w:tcBorders>
            <w:shd w:val="clear" w:color="auto" w:fill="FFFFFF"/>
          </w:tcPr>
          <w:p w:rsidR="00E80DF0" w:rsidRDefault="00684888">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E80DF0">
        <w:trPr>
          <w:cantSplit/>
          <w:jc w:val="center"/>
        </w:trPr>
        <w:tc>
          <w:tcPr>
            <w:tcW w:w="9051" w:type="dxa"/>
            <w:gridSpan w:val="2"/>
            <w:tcBorders>
              <w:top w:val="nil"/>
              <w:left w:val="nil"/>
              <w:bottom w:val="nil"/>
              <w:right w:val="nil"/>
            </w:tcBorders>
            <w:shd w:val="clear" w:color="auto" w:fill="FFFFFF"/>
          </w:tcPr>
          <w:p w:rsidR="00E80DF0" w:rsidRDefault="00684888">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E80DF0">
        <w:trPr>
          <w:cantSplit/>
          <w:jc w:val="center"/>
        </w:trPr>
        <w:tc>
          <w:tcPr>
            <w:tcW w:w="9051" w:type="dxa"/>
            <w:gridSpan w:val="2"/>
            <w:tcBorders>
              <w:top w:val="nil"/>
              <w:left w:val="nil"/>
              <w:bottom w:val="nil"/>
              <w:right w:val="nil"/>
            </w:tcBorders>
            <w:shd w:val="clear" w:color="auto" w:fill="FFFFFF"/>
          </w:tcPr>
          <w:p w:rsidR="00E80DF0" w:rsidRDefault="00684888">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GUADELOUPE</w:t>
            </w:r>
          </w:p>
        </w:tc>
      </w:tr>
      <w:tr w:rsidR="00E80DF0">
        <w:trPr>
          <w:cantSplit/>
          <w:jc w:val="center"/>
        </w:trPr>
        <w:tc>
          <w:tcPr>
            <w:tcW w:w="9051" w:type="dxa"/>
            <w:gridSpan w:val="2"/>
            <w:tcBorders>
              <w:top w:val="nil"/>
              <w:left w:val="nil"/>
              <w:bottom w:val="nil"/>
              <w:right w:val="nil"/>
            </w:tcBorders>
            <w:shd w:val="clear" w:color="auto" w:fill="FFFFFF"/>
          </w:tcPr>
          <w:p w:rsidR="00E80DF0" w:rsidRDefault="00684888">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E80DF0">
        <w:trPr>
          <w:cantSplit/>
          <w:jc w:val="center"/>
        </w:trPr>
        <w:tc>
          <w:tcPr>
            <w:tcW w:w="9051" w:type="dxa"/>
            <w:gridSpan w:val="2"/>
            <w:tcBorders>
              <w:top w:val="nil"/>
              <w:left w:val="nil"/>
              <w:bottom w:val="nil"/>
              <w:right w:val="nil"/>
            </w:tcBorders>
            <w:shd w:val="clear" w:color="auto" w:fill="FFFFFF"/>
          </w:tcPr>
          <w:p w:rsidR="00E80DF0" w:rsidRDefault="00E80DF0">
            <w:pPr>
              <w:adjustRightInd w:val="0"/>
              <w:jc w:val="both"/>
              <w:rPr>
                <w:rFonts w:ascii="Arial" w:hAnsi="Arial" w:cs="Arial"/>
                <w:color w:val="000000"/>
                <w:sz w:val="22"/>
                <w:szCs w:val="22"/>
              </w:rPr>
            </w:pP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Nombre de naissance (CPDPN1)</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Liste des CPDPN (CPDPN2)</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E80DF0">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E80DF0" w:rsidRDefault="00E80DF0">
            <w:pPr>
              <w:adjustRightInd w:val="0"/>
              <w:rPr>
                <w:rFonts w:ascii="Arial" w:hAnsi="Arial" w:cs="Arial"/>
                <w:color w:val="000000"/>
                <w:sz w:val="18"/>
                <w:szCs w:val="18"/>
              </w:rPr>
            </w:pP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E80DF0">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E80DF0" w:rsidRDefault="00E80DF0">
            <w:pPr>
              <w:adjustRightInd w:val="0"/>
              <w:rPr>
                <w:rFonts w:ascii="Arial" w:hAnsi="Arial" w:cs="Arial"/>
                <w:color w:val="000000"/>
                <w:sz w:val="18"/>
                <w:szCs w:val="18"/>
              </w:rPr>
            </w:pP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80DF0" w:rsidRDefault="00684888">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E80DF0">
        <w:tblPrEx>
          <w:jc w:val="left"/>
        </w:tblPrEx>
        <w:trPr>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E80DF0" w:rsidRDefault="00E80DF0">
      <w:pPr>
        <w:adjustRightInd w:val="0"/>
        <w:rPr>
          <w:rFonts w:ascii="Arial" w:hAnsi="Arial" w:cs="Arial"/>
          <w:color w:val="000000"/>
          <w:sz w:val="22"/>
          <w:szCs w:val="22"/>
        </w:rPr>
        <w:sectPr w:rsidR="00E80DF0">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Les données présentées correspondent à l'activité 2016 des CPDPN .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Guadeloupe.</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Les données de génétique postnatale correspondent à l’activité 2017 des laboratoires. Elles ont été recueillies de manière spécifique en coopération avec Orphanet. La base de données a été figée en avril 2018. Les modifications apportées après cette date n’ont pas été prises en compte.</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lastRenderedPageBreak/>
              <w:br/>
              <w:t>Le tableau GENPOST4 décrit l’activité pangénomique par puce aux niveaux régional et national, en fonction de l’indication recherchée. L’analyse pangénomique par puce est une technique utilisée aussi bien par les laboratoires de cytogénétique que par les laboratoires de génétique moléculaire. Elle est souvent mutualisée dans un même établissement.</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 tableau GENPOST6 présente l’activité, aux niveaux régional et national, des laboratoires qui ont utilisé la technique de séquençage haut débit (NGS : Next Generation Sequencing).</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E80DF0">
        <w:trPr>
          <w:cantSplit/>
          <w:jc w:val="center"/>
        </w:trPr>
        <w:tc>
          <w:tcPr>
            <w:tcW w:w="9051" w:type="dxa"/>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E80DF0" w:rsidRDefault="00E80DF0">
      <w:pPr>
        <w:adjustRightInd w:val="0"/>
        <w:rPr>
          <w:rFonts w:ascii="Arial" w:hAnsi="Arial" w:cs="Arial"/>
          <w:color w:val="000000"/>
          <w:sz w:val="22"/>
          <w:szCs w:val="22"/>
        </w:rPr>
        <w:sectPr w:rsidR="00E80DF0">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E80DF0">
        <w:trPr>
          <w:cantSplit/>
        </w:trPr>
        <w:tc>
          <w:tcPr>
            <w:tcW w:w="9051" w:type="dxa"/>
            <w:gridSpan w:val="3"/>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Guadeloupe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E80DF0">
        <w:tblPrEx>
          <w:jc w:val="center"/>
        </w:tblPrEx>
        <w:trPr>
          <w:cantSplit/>
          <w:jc w:val="center"/>
        </w:trPr>
        <w:tc>
          <w:tcPr>
            <w:tcW w:w="9051" w:type="dxa"/>
            <w:gridSpan w:val="3"/>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E80DF0">
        <w:trPr>
          <w:gridAfter w:val="1"/>
          <w:wAfter w:w="104" w:type="dxa"/>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E80DF0">
        <w:trPr>
          <w:gridAfter w:val="1"/>
          <w:wAfter w:w="104" w:type="dxa"/>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E80DF0">
        <w:trPr>
          <w:gridAfter w:val="1"/>
          <w:wAfter w:w="104" w:type="dxa"/>
          <w:cantSplit/>
        </w:trPr>
        <w:tc>
          <w:tcPr>
            <w:tcW w:w="880" w:type="dxa"/>
            <w:tcBorders>
              <w:top w:val="nil"/>
              <w:left w:val="nil"/>
              <w:bottom w:val="nil"/>
              <w:right w:val="nil"/>
            </w:tcBorders>
            <w:shd w:val="clear" w:color="auto" w:fill="FFFFFF"/>
            <w:tcMar>
              <w:right w:w="80" w:type="dxa"/>
            </w:tcMar>
          </w:tcPr>
          <w:p w:rsidR="00E80DF0" w:rsidRDefault="00684888">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E80DF0" w:rsidRDefault="00684888">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E80DF0">
        <w:trPr>
          <w:gridAfter w:val="1"/>
          <w:wAfter w:w="104" w:type="dxa"/>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E80DF0">
        <w:tblPrEx>
          <w:jc w:val="center"/>
        </w:tblPrEx>
        <w:trPr>
          <w:cantSplit/>
          <w:jc w:val="center"/>
        </w:trPr>
        <w:tc>
          <w:tcPr>
            <w:tcW w:w="9051" w:type="dxa"/>
            <w:gridSpan w:val="3"/>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E80DF0">
        <w:tblPrEx>
          <w:jc w:val="center"/>
        </w:tblPrEx>
        <w:trPr>
          <w:cantSplit/>
          <w:jc w:val="center"/>
        </w:trPr>
        <w:tc>
          <w:tcPr>
            <w:tcW w:w="9051" w:type="dxa"/>
            <w:gridSpan w:val="3"/>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E80DF0">
        <w:tblPrEx>
          <w:jc w:val="center"/>
        </w:tblPrEx>
        <w:trPr>
          <w:cantSplit/>
          <w:jc w:val="center"/>
        </w:trPr>
        <w:tc>
          <w:tcPr>
            <w:tcW w:w="9051" w:type="dxa"/>
            <w:gridSpan w:val="3"/>
            <w:tcBorders>
              <w:top w:val="nil"/>
              <w:left w:val="nil"/>
              <w:bottom w:val="nil"/>
              <w:right w:val="nil"/>
            </w:tcBorders>
            <w:shd w:val="clear" w:color="auto" w:fill="FFFFFF"/>
          </w:tcPr>
          <w:p w:rsidR="00E80DF0" w:rsidRDefault="00684888" w:rsidP="002E0894">
            <w:pPr>
              <w:adjustRightInd w:val="0"/>
              <w:jc w:val="both"/>
              <w:rPr>
                <w:rFonts w:ascii="Arial" w:hAnsi="Arial" w:cs="Arial"/>
                <w:color w:val="000000"/>
                <w:sz w:val="22"/>
                <w:szCs w:val="22"/>
              </w:rPr>
            </w:pPr>
            <w:r>
              <w:rPr>
                <w:rFonts w:ascii="Arial" w:hAnsi="Arial" w:cs="Arial"/>
                <w:color w:val="000000"/>
                <w:sz w:val="22"/>
                <w:szCs w:val="22"/>
              </w:rPr>
              <w:br/>
              <w:t>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Guadeloupe (tableau CPDPN4) ainsi que celles domiciliées en Guadeloupe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 nombre de gestes à visée thérapeutique » sont un reflet indirect du degré d’expertise du CPDPN (Tableau CPDPN3).</w:t>
            </w:r>
          </w:p>
        </w:tc>
      </w:tr>
    </w:tbl>
    <w:p w:rsidR="00E80DF0" w:rsidRDefault="00E80DF0">
      <w:pPr>
        <w:adjustRightInd w:val="0"/>
        <w:rPr>
          <w:rFonts w:ascii="Arial" w:hAnsi="Arial" w:cs="Arial"/>
          <w:color w:val="000000"/>
          <w:sz w:val="22"/>
          <w:szCs w:val="22"/>
        </w:rPr>
      </w:pPr>
    </w:p>
    <w:p w:rsidR="005C6438" w:rsidRDefault="005C6438" w:rsidP="005C6438">
      <w:pPr>
        <w:adjustRightInd w:val="0"/>
        <w:jc w:val="both"/>
        <w:rPr>
          <w:rFonts w:ascii="Arial" w:hAnsi="Arial" w:cs="Arial"/>
          <w:color w:val="000000"/>
          <w:sz w:val="22"/>
          <w:szCs w:val="22"/>
        </w:rPr>
      </w:pPr>
      <w:r>
        <w:rPr>
          <w:rFonts w:ascii="Arial" w:hAnsi="Arial" w:cs="Arial"/>
          <w:color w:val="000000"/>
          <w:sz w:val="22"/>
          <w:szCs w:val="22"/>
        </w:rPr>
        <w:t>En 2016</w:t>
      </w:r>
      <w:r w:rsidRPr="00BF3304">
        <w:rPr>
          <w:rFonts w:ascii="Arial" w:hAnsi="Arial" w:cs="Arial"/>
          <w:color w:val="000000"/>
          <w:sz w:val="22"/>
          <w:szCs w:val="22"/>
        </w:rPr>
        <w:t xml:space="preserve">, </w:t>
      </w:r>
      <w:r>
        <w:rPr>
          <w:rFonts w:ascii="Arial" w:hAnsi="Arial" w:cs="Arial"/>
          <w:color w:val="000000"/>
          <w:sz w:val="22"/>
          <w:szCs w:val="22"/>
        </w:rPr>
        <w:t xml:space="preserve">4 653 </w:t>
      </w:r>
      <w:r w:rsidRPr="00BF3304">
        <w:rPr>
          <w:rFonts w:ascii="Arial" w:hAnsi="Arial" w:cs="Arial"/>
          <w:color w:val="000000"/>
          <w:sz w:val="22"/>
          <w:szCs w:val="22"/>
        </w:rPr>
        <w:t>naissances ont été domiciliées</w:t>
      </w:r>
      <w:r>
        <w:rPr>
          <w:rFonts w:ascii="Arial" w:hAnsi="Arial" w:cs="Arial"/>
          <w:color w:val="000000"/>
          <w:sz w:val="22"/>
          <w:szCs w:val="22"/>
        </w:rPr>
        <w:t xml:space="preserve"> en Guadeloupe, représentant 0,6% du volume national de naissances (Tableau CP</w:t>
      </w:r>
      <w:bookmarkStart w:id="4" w:name="_GoBack"/>
      <w:bookmarkEnd w:id="4"/>
      <w:r>
        <w:rPr>
          <w:rFonts w:ascii="Arial" w:hAnsi="Arial" w:cs="Arial"/>
          <w:color w:val="000000"/>
          <w:sz w:val="22"/>
          <w:szCs w:val="22"/>
        </w:rPr>
        <w:t xml:space="preserve">DPN1). </w:t>
      </w:r>
    </w:p>
    <w:p w:rsidR="005C6438" w:rsidRDefault="005C6438" w:rsidP="005C6438">
      <w:pPr>
        <w:adjustRightInd w:val="0"/>
        <w:jc w:val="both"/>
        <w:rPr>
          <w:rFonts w:ascii="Arial" w:hAnsi="Arial" w:cs="Arial"/>
          <w:color w:val="000000"/>
          <w:sz w:val="22"/>
          <w:szCs w:val="22"/>
        </w:rPr>
      </w:pPr>
      <w:r>
        <w:rPr>
          <w:rFonts w:ascii="Arial" w:hAnsi="Arial" w:cs="Arial"/>
          <w:color w:val="000000"/>
          <w:sz w:val="22"/>
          <w:szCs w:val="22"/>
        </w:rPr>
        <w:lastRenderedPageBreak/>
        <w:t xml:space="preserve">Un </w:t>
      </w:r>
      <w:r w:rsidRPr="00BF3304">
        <w:rPr>
          <w:rFonts w:ascii="Arial" w:hAnsi="Arial" w:cs="Arial"/>
          <w:color w:val="000000"/>
          <w:sz w:val="22"/>
          <w:szCs w:val="22"/>
        </w:rPr>
        <w:t xml:space="preserve">CPDPN </w:t>
      </w:r>
      <w:r>
        <w:rPr>
          <w:rFonts w:ascii="Arial" w:hAnsi="Arial" w:cs="Arial"/>
          <w:color w:val="000000"/>
          <w:sz w:val="22"/>
          <w:szCs w:val="22"/>
        </w:rPr>
        <w:t xml:space="preserve">y </w:t>
      </w:r>
      <w:r w:rsidRPr="00BF3304">
        <w:rPr>
          <w:rFonts w:ascii="Arial" w:hAnsi="Arial" w:cs="Arial"/>
          <w:color w:val="000000"/>
          <w:sz w:val="22"/>
          <w:szCs w:val="22"/>
        </w:rPr>
        <w:t>était autorisé</w:t>
      </w:r>
      <w:r>
        <w:rPr>
          <w:rFonts w:ascii="Arial" w:hAnsi="Arial" w:cs="Arial"/>
          <w:color w:val="000000"/>
          <w:sz w:val="22"/>
          <w:szCs w:val="22"/>
        </w:rPr>
        <w:t>, soit 1 CPDPN pour 4 653 naissances. Ce taux était plus beaucoup plus élevé que le taux national de 1 CPDPN pour 15 951 naissances (49 CPDPN autorisés en France en 2016).</w:t>
      </w:r>
    </w:p>
    <w:p w:rsidR="005C6438" w:rsidRDefault="005C6438" w:rsidP="005C6438">
      <w:pPr>
        <w:adjustRightInd w:val="0"/>
        <w:jc w:val="both"/>
        <w:rPr>
          <w:rFonts w:ascii="Arial" w:hAnsi="Arial" w:cs="Arial"/>
          <w:color w:val="000000"/>
          <w:sz w:val="22"/>
          <w:szCs w:val="22"/>
        </w:rPr>
      </w:pPr>
      <w:r>
        <w:rPr>
          <w:rFonts w:ascii="Arial" w:hAnsi="Arial" w:cs="Arial"/>
          <w:color w:val="000000"/>
          <w:sz w:val="22"/>
          <w:szCs w:val="22"/>
        </w:rPr>
        <w:t>Ce CPDPN a</w:t>
      </w:r>
      <w:r w:rsidRPr="00BF3304">
        <w:rPr>
          <w:rFonts w:ascii="Arial" w:hAnsi="Arial" w:cs="Arial"/>
          <w:color w:val="000000"/>
          <w:sz w:val="22"/>
          <w:szCs w:val="22"/>
        </w:rPr>
        <w:t xml:space="preserve"> examiné en réunion pluridisciplinaire un total de </w:t>
      </w:r>
      <w:r>
        <w:rPr>
          <w:rFonts w:ascii="Arial" w:hAnsi="Arial" w:cs="Arial"/>
          <w:color w:val="000000"/>
          <w:sz w:val="22"/>
          <w:szCs w:val="22"/>
        </w:rPr>
        <w:t>287</w:t>
      </w:r>
      <w:r w:rsidRPr="00BF3304">
        <w:rPr>
          <w:rFonts w:ascii="Arial" w:hAnsi="Arial" w:cs="Arial"/>
          <w:color w:val="000000"/>
          <w:sz w:val="22"/>
          <w:szCs w:val="22"/>
        </w:rPr>
        <w:t xml:space="preserve"> dossiers correspondant à </w:t>
      </w:r>
      <w:r>
        <w:rPr>
          <w:rFonts w:ascii="Arial" w:hAnsi="Arial" w:cs="Arial"/>
          <w:color w:val="000000"/>
          <w:sz w:val="22"/>
          <w:szCs w:val="22"/>
        </w:rPr>
        <w:t>277</w:t>
      </w:r>
      <w:r w:rsidRPr="00BF3304">
        <w:rPr>
          <w:rFonts w:ascii="Arial" w:hAnsi="Arial" w:cs="Arial"/>
          <w:color w:val="000000"/>
          <w:sz w:val="22"/>
          <w:szCs w:val="22"/>
        </w:rPr>
        <w:t xml:space="preserve"> femmes (quel</w:t>
      </w:r>
      <w:r>
        <w:rPr>
          <w:rFonts w:ascii="Arial" w:hAnsi="Arial" w:cs="Arial"/>
          <w:color w:val="000000"/>
          <w:sz w:val="22"/>
          <w:szCs w:val="22"/>
        </w:rPr>
        <w:t>le</w:t>
      </w:r>
      <w:r w:rsidRPr="00BF3304">
        <w:rPr>
          <w:rFonts w:ascii="Arial" w:hAnsi="Arial" w:cs="Arial"/>
          <w:color w:val="000000"/>
          <w:sz w:val="22"/>
          <w:szCs w:val="22"/>
        </w:rPr>
        <w:t xml:space="preserve"> que s</w:t>
      </w:r>
      <w:r>
        <w:rPr>
          <w:rFonts w:ascii="Arial" w:hAnsi="Arial" w:cs="Arial"/>
          <w:color w:val="000000"/>
          <w:sz w:val="22"/>
          <w:szCs w:val="22"/>
        </w:rPr>
        <w:t>oit la région de leur domicile), soit 0,8% des femmes vues par les CPDPN sur le territoire national (Tableau CPDPN2 et 3).</w:t>
      </w:r>
      <w:r w:rsidRPr="0086477C">
        <w:rPr>
          <w:rFonts w:ascii="Arial" w:hAnsi="Arial" w:cs="Arial"/>
          <w:color w:val="000000"/>
          <w:sz w:val="22"/>
          <w:szCs w:val="22"/>
        </w:rPr>
        <w:t xml:space="preserve"> </w:t>
      </w:r>
    </w:p>
    <w:p w:rsidR="005C6438" w:rsidRDefault="005C6438" w:rsidP="005C6438">
      <w:pPr>
        <w:adjustRightInd w:val="0"/>
        <w:jc w:val="both"/>
        <w:rPr>
          <w:rFonts w:ascii="Arial" w:hAnsi="Arial" w:cs="Arial"/>
          <w:color w:val="000000"/>
          <w:sz w:val="22"/>
          <w:szCs w:val="22"/>
        </w:rPr>
      </w:pPr>
    </w:p>
    <w:p w:rsidR="005C6438" w:rsidRDefault="005C6438" w:rsidP="005C6438">
      <w:pPr>
        <w:adjustRightInd w:val="0"/>
        <w:jc w:val="both"/>
        <w:rPr>
          <w:rFonts w:ascii="Arial" w:hAnsi="Arial" w:cs="Arial"/>
          <w:color w:val="000000"/>
          <w:sz w:val="22"/>
          <w:szCs w:val="22"/>
        </w:rPr>
      </w:pPr>
      <w:r>
        <w:rPr>
          <w:rFonts w:ascii="Arial" w:hAnsi="Arial" w:cs="Arial"/>
          <w:color w:val="000000"/>
          <w:sz w:val="22"/>
          <w:szCs w:val="22"/>
        </w:rPr>
        <w:t xml:space="preserve">Le taux de femmes vues par le CPDPN de Guadeloupe (quelle que soit la région de résidence de ces femmes), rapporté au nombre de naissances domiciliées dans la région, était de 5,95%. Ce taux était plus élevé que le taux national qui était de 4,24% (Tableau CPDPN3). </w:t>
      </w:r>
    </w:p>
    <w:p w:rsidR="005C6438" w:rsidRDefault="005C6438" w:rsidP="005C6438">
      <w:pPr>
        <w:adjustRightInd w:val="0"/>
        <w:jc w:val="both"/>
        <w:rPr>
          <w:rFonts w:ascii="Arial" w:hAnsi="Arial" w:cs="Arial"/>
          <w:color w:val="000000"/>
          <w:sz w:val="22"/>
          <w:szCs w:val="22"/>
        </w:rPr>
      </w:pPr>
    </w:p>
    <w:p w:rsidR="005C6438" w:rsidRDefault="005C6438" w:rsidP="005C6438">
      <w:pPr>
        <w:adjustRightInd w:val="0"/>
        <w:jc w:val="both"/>
        <w:rPr>
          <w:rFonts w:ascii="Arial" w:hAnsi="Arial" w:cs="Arial"/>
          <w:color w:val="000000"/>
          <w:sz w:val="22"/>
          <w:szCs w:val="22"/>
        </w:rPr>
      </w:pPr>
      <w:r>
        <w:rPr>
          <w:rFonts w:ascii="Arial" w:hAnsi="Arial" w:cs="Arial"/>
          <w:color w:val="000000"/>
          <w:sz w:val="22"/>
          <w:szCs w:val="22"/>
        </w:rPr>
        <w:t>Le nombre de femmes domiciliées en Guadeloupe et ayant consulté un CPDPN (quelle que soit la région dans laquelle celui-ci était implanté) était de 280, soit rapporté au nombre de naissances domiciliées dans la région, un taux de 6,02%</w:t>
      </w:r>
      <w:r w:rsidR="00143D09">
        <w:rPr>
          <w:rFonts w:ascii="Arial" w:hAnsi="Arial" w:cs="Arial"/>
          <w:color w:val="000000"/>
          <w:sz w:val="22"/>
          <w:szCs w:val="22"/>
        </w:rPr>
        <w:t>(Tableau CPDPN5b)</w:t>
      </w:r>
      <w:r>
        <w:rPr>
          <w:rFonts w:ascii="Arial" w:hAnsi="Arial" w:cs="Arial"/>
          <w:color w:val="000000"/>
          <w:sz w:val="22"/>
          <w:szCs w:val="22"/>
        </w:rPr>
        <w:t>. Ce taux était plus élevé que le</w:t>
      </w:r>
      <w:r w:rsidR="00143D09">
        <w:rPr>
          <w:rFonts w:ascii="Arial" w:hAnsi="Arial" w:cs="Arial"/>
          <w:color w:val="000000"/>
          <w:sz w:val="22"/>
          <w:szCs w:val="22"/>
        </w:rPr>
        <w:t xml:space="preserve"> taux national qui était de 4,15</w:t>
      </w:r>
      <w:r>
        <w:rPr>
          <w:rFonts w:ascii="Arial" w:hAnsi="Arial" w:cs="Arial"/>
          <w:color w:val="000000"/>
          <w:sz w:val="22"/>
          <w:szCs w:val="22"/>
        </w:rPr>
        <w:t>%</w:t>
      </w:r>
      <w:r w:rsidR="00143D09">
        <w:rPr>
          <w:rFonts w:ascii="Arial" w:hAnsi="Arial" w:cs="Arial"/>
          <w:color w:val="000000"/>
          <w:sz w:val="22"/>
          <w:szCs w:val="22"/>
        </w:rPr>
        <w:t xml:space="preserve"> (Figure CPDPN1)</w:t>
      </w:r>
      <w:r>
        <w:rPr>
          <w:rFonts w:ascii="Arial" w:hAnsi="Arial" w:cs="Arial"/>
          <w:color w:val="000000"/>
          <w:sz w:val="22"/>
          <w:szCs w:val="22"/>
        </w:rPr>
        <w:t>.</w:t>
      </w:r>
    </w:p>
    <w:p w:rsidR="005C6438" w:rsidRPr="00BF3304" w:rsidRDefault="005C6438" w:rsidP="005C6438">
      <w:pPr>
        <w:adjustRightInd w:val="0"/>
        <w:jc w:val="both"/>
        <w:rPr>
          <w:rFonts w:ascii="Arial" w:hAnsi="Arial" w:cs="Arial"/>
          <w:color w:val="000000"/>
          <w:sz w:val="22"/>
          <w:szCs w:val="22"/>
        </w:rPr>
      </w:pPr>
      <w:r>
        <w:rPr>
          <w:rFonts w:ascii="Arial" w:hAnsi="Arial" w:cs="Arial"/>
          <w:color w:val="000000"/>
          <w:sz w:val="22"/>
          <w:szCs w:val="22"/>
        </w:rPr>
        <w:t>La plupart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(98,57</w:t>
      </w:r>
      <w:r w:rsidRPr="00BF3304">
        <w:rPr>
          <w:rFonts w:ascii="Arial" w:hAnsi="Arial" w:cs="Arial"/>
          <w:color w:val="000000"/>
          <w:sz w:val="22"/>
          <w:szCs w:val="22"/>
        </w:rPr>
        <w:t xml:space="preserve">%) ont eu recours </w:t>
      </w:r>
      <w:r>
        <w:rPr>
          <w:rFonts w:ascii="Arial" w:hAnsi="Arial" w:cs="Arial"/>
          <w:color w:val="000000"/>
          <w:sz w:val="22"/>
          <w:szCs w:val="22"/>
        </w:rPr>
        <w:t xml:space="preserve">au </w:t>
      </w:r>
      <w:r w:rsidRPr="00BF3304">
        <w:rPr>
          <w:rFonts w:ascii="Arial" w:hAnsi="Arial" w:cs="Arial"/>
          <w:color w:val="000000"/>
          <w:sz w:val="22"/>
          <w:szCs w:val="22"/>
        </w:rPr>
        <w:t xml:space="preserve">CPDPN </w:t>
      </w:r>
      <w:r>
        <w:rPr>
          <w:rFonts w:ascii="Arial" w:hAnsi="Arial" w:cs="Arial"/>
          <w:color w:val="000000"/>
          <w:sz w:val="22"/>
          <w:szCs w:val="22"/>
        </w:rPr>
        <w:t>de la région</w:t>
      </w:r>
      <w:r w:rsidRPr="00BF3304">
        <w:rPr>
          <w:rFonts w:ascii="Arial" w:hAnsi="Arial" w:cs="Arial"/>
          <w:color w:val="000000"/>
          <w:sz w:val="22"/>
          <w:szCs w:val="22"/>
        </w:rPr>
        <w:t>. Celles qui ont consulté en dehors de l</w:t>
      </w:r>
      <w:r>
        <w:rPr>
          <w:rFonts w:ascii="Arial" w:hAnsi="Arial" w:cs="Arial"/>
          <w:color w:val="000000"/>
          <w:sz w:val="22"/>
          <w:szCs w:val="22"/>
        </w:rPr>
        <w:t>a région</w:t>
      </w:r>
      <w:r w:rsidRPr="00BF3304">
        <w:rPr>
          <w:rFonts w:ascii="Arial" w:hAnsi="Arial" w:cs="Arial"/>
          <w:color w:val="000000"/>
          <w:sz w:val="22"/>
          <w:szCs w:val="22"/>
        </w:rPr>
        <w:t xml:space="preserve"> sont allées </w:t>
      </w:r>
      <w:r>
        <w:rPr>
          <w:rFonts w:ascii="Arial" w:hAnsi="Arial" w:cs="Arial"/>
          <w:color w:val="000000"/>
          <w:sz w:val="22"/>
          <w:szCs w:val="22"/>
        </w:rPr>
        <w:t>en Centre-Val de Loire (0,71%), en Auvergne-Rhône-Alpes (0,36%) et en Martinique (0,36%) (Tableau CPDPN5).</w:t>
      </w:r>
    </w:p>
    <w:p w:rsidR="005C6438" w:rsidRDefault="005C6438" w:rsidP="005C6438">
      <w:pPr>
        <w:adjustRightInd w:val="0"/>
        <w:jc w:val="both"/>
        <w:rPr>
          <w:rFonts w:ascii="Arial" w:hAnsi="Arial" w:cs="Arial"/>
          <w:color w:val="000000"/>
          <w:sz w:val="22"/>
          <w:szCs w:val="22"/>
        </w:rPr>
      </w:pPr>
    </w:p>
    <w:p w:rsidR="005C6438" w:rsidRDefault="005C6438" w:rsidP="005C6438">
      <w:pPr>
        <w:adjustRightInd w:val="0"/>
        <w:jc w:val="both"/>
        <w:rPr>
          <w:rFonts w:ascii="Arial" w:hAnsi="Arial" w:cs="Arial"/>
          <w:color w:val="000000"/>
          <w:sz w:val="22"/>
          <w:szCs w:val="22"/>
        </w:rPr>
      </w:pPr>
      <w:r>
        <w:rPr>
          <w:rFonts w:ascii="Arial" w:hAnsi="Arial" w:cs="Arial"/>
          <w:color w:val="000000"/>
          <w:sz w:val="22"/>
          <w:szCs w:val="22"/>
        </w:rPr>
        <w:t xml:space="preserve">Le taux d’attestations autorisant une IMG pour motif fœtal délivrées par le CPDPN de Guadeloupe, rapporté au nombre de naissances vivantes domiciliées dans la région était de 1,03%. Ce taux était plus élevé que le taux national qui était de 0,90% (Tableau CPDPN3). </w:t>
      </w:r>
    </w:p>
    <w:p w:rsidR="005C6438" w:rsidRDefault="005C6438" w:rsidP="005C6438">
      <w:pPr>
        <w:adjustRightInd w:val="0"/>
        <w:jc w:val="both"/>
        <w:rPr>
          <w:rFonts w:ascii="Arial" w:hAnsi="Arial" w:cs="Arial"/>
          <w:color w:val="000000"/>
          <w:sz w:val="22"/>
          <w:szCs w:val="22"/>
        </w:rPr>
      </w:pPr>
    </w:p>
    <w:p w:rsidR="005C6438" w:rsidRDefault="005C6438" w:rsidP="005C6438">
      <w:pPr>
        <w:adjustRightInd w:val="0"/>
        <w:jc w:val="both"/>
        <w:rPr>
          <w:rFonts w:ascii="Arial" w:hAnsi="Arial" w:cs="Arial"/>
          <w:color w:val="000000"/>
          <w:sz w:val="22"/>
          <w:szCs w:val="22"/>
        </w:rPr>
      </w:pPr>
      <w:r>
        <w:rPr>
          <w:rFonts w:ascii="Arial" w:hAnsi="Arial" w:cs="Arial"/>
          <w:color w:val="000000"/>
          <w:sz w:val="22"/>
          <w:szCs w:val="22"/>
        </w:rPr>
        <w:t xml:space="preserve">Concernant </w:t>
      </w:r>
      <w:r w:rsidRPr="00BF3304">
        <w:rPr>
          <w:rFonts w:ascii="Arial" w:hAnsi="Arial" w:cs="Arial"/>
          <w:color w:val="000000"/>
          <w:sz w:val="22"/>
          <w:szCs w:val="22"/>
        </w:rPr>
        <w:t xml:space="preserve">les flux </w:t>
      </w:r>
      <w:r>
        <w:rPr>
          <w:rFonts w:ascii="Arial" w:hAnsi="Arial" w:cs="Arial"/>
          <w:color w:val="000000"/>
          <w:sz w:val="22"/>
          <w:szCs w:val="22"/>
        </w:rPr>
        <w:t>entre la Guadeloupe et les autres régions, le flux entrant (relatif au nombre de femmes domiciliées dans une autre région et consultant un CPDPN de Guadeloupe) était de 0,36% et inférieur au flux sortant (relatif au nombre de femmes domiciliées en Guadeloupe et consultant un CPDPN d’une autre région) qui était de 1,43%, alors qu’en moyenne sur le territoire national, ce flux (m</w:t>
      </w:r>
      <w:r w:rsidRPr="00CF5F91">
        <w:rPr>
          <w:rFonts w:ascii="Arial" w:hAnsi="Arial" w:cs="Arial"/>
          <w:color w:val="000000"/>
          <w:sz w:val="22"/>
          <w:szCs w:val="22"/>
        </w:rPr>
        <w:t>oyenne des flux des nouvelles régions disposant d'un CPDPN sur leur territoire (la Corse, la Guyane et Mayotte n'ont pas de CPDPN)</w:t>
      </w:r>
      <w:r>
        <w:rPr>
          <w:rFonts w:ascii="Arial" w:hAnsi="Arial" w:cs="Arial"/>
          <w:color w:val="000000"/>
          <w:sz w:val="22"/>
          <w:szCs w:val="22"/>
        </w:rPr>
        <w:t xml:space="preserve"> était de 6,32% (Tableau CPDPN6). </w:t>
      </w:r>
    </w:p>
    <w:p w:rsidR="005C6438" w:rsidRDefault="005C6438" w:rsidP="005C6438"/>
    <w:p w:rsidR="005C6438" w:rsidRPr="00860101" w:rsidRDefault="005C6438" w:rsidP="005C6438">
      <w:pPr>
        <w:jc w:val="both"/>
        <w:rPr>
          <w:rFonts w:ascii="Arial" w:hAnsi="Arial" w:cs="Arial"/>
          <w:sz w:val="22"/>
          <w:szCs w:val="22"/>
        </w:rPr>
      </w:pPr>
      <w:r w:rsidRPr="00860101">
        <w:rPr>
          <w:rFonts w:ascii="Arial" w:hAnsi="Arial" w:cs="Arial"/>
          <w:sz w:val="22"/>
          <w:szCs w:val="22"/>
        </w:rPr>
        <w:t xml:space="preserve">En conclusion, </w:t>
      </w:r>
      <w:r>
        <w:rPr>
          <w:rFonts w:ascii="Arial" w:hAnsi="Arial" w:cs="Arial"/>
          <w:sz w:val="22"/>
          <w:szCs w:val="22"/>
        </w:rPr>
        <w:t>par rapport aux indicateurs nationaux</w:t>
      </w:r>
      <w:r w:rsidR="00FB3664">
        <w:rPr>
          <w:rFonts w:ascii="Arial" w:hAnsi="Arial" w:cs="Arial"/>
          <w:sz w:val="22"/>
          <w:szCs w:val="22"/>
        </w:rPr>
        <w:t xml:space="preserve"> et rapporté au nombre de naissances sur le territoire</w:t>
      </w:r>
      <w:r>
        <w:rPr>
          <w:rFonts w:ascii="Arial" w:hAnsi="Arial" w:cs="Arial"/>
          <w:sz w:val="22"/>
          <w:szCs w:val="22"/>
        </w:rPr>
        <w:t xml:space="preserve">, le nombre de CPDPN était beaucoup plus élevé. L’activité </w:t>
      </w:r>
      <w:r w:rsidR="00FB3664">
        <w:rPr>
          <w:rFonts w:ascii="Arial" w:hAnsi="Arial" w:cs="Arial"/>
          <w:sz w:val="22"/>
          <w:szCs w:val="22"/>
        </w:rPr>
        <w:t>régionale</w:t>
      </w:r>
      <w:r>
        <w:rPr>
          <w:rFonts w:ascii="Arial" w:hAnsi="Arial" w:cs="Arial"/>
          <w:sz w:val="22"/>
          <w:szCs w:val="22"/>
        </w:rPr>
        <w:t xml:space="preserve"> semblait plus </w:t>
      </w:r>
      <w:r w:rsidR="00143D09">
        <w:rPr>
          <w:rFonts w:ascii="Arial" w:hAnsi="Arial" w:cs="Arial"/>
          <w:sz w:val="22"/>
          <w:szCs w:val="22"/>
        </w:rPr>
        <w:t>importante</w:t>
      </w:r>
      <w:r>
        <w:rPr>
          <w:rFonts w:ascii="Arial" w:hAnsi="Arial" w:cs="Arial"/>
          <w:sz w:val="22"/>
          <w:szCs w:val="22"/>
        </w:rPr>
        <w:t xml:space="preserve">. De plus, le recours à un CPDPN des femmes domiciliées en Guadeloupe était </w:t>
      </w:r>
      <w:r>
        <w:rPr>
          <w:rFonts w:ascii="Arial" w:hAnsi="Arial" w:cs="Arial"/>
          <w:color w:val="000000"/>
          <w:sz w:val="22"/>
          <w:szCs w:val="22"/>
        </w:rPr>
        <w:t xml:space="preserve">plus Important. Enfin, le besoin de recourir à des ressources extrarégionales </w:t>
      </w:r>
      <w:r w:rsidR="00FB3664">
        <w:rPr>
          <w:rFonts w:ascii="Arial" w:hAnsi="Arial" w:cs="Arial"/>
          <w:color w:val="000000"/>
          <w:sz w:val="22"/>
          <w:szCs w:val="22"/>
        </w:rPr>
        <w:t xml:space="preserve">des femmes résidant dans cette région </w:t>
      </w:r>
      <w:r>
        <w:rPr>
          <w:rFonts w:ascii="Arial" w:hAnsi="Arial" w:cs="Arial"/>
          <w:color w:val="000000"/>
          <w:sz w:val="22"/>
          <w:szCs w:val="22"/>
        </w:rPr>
        <w:t>semblait être moins fort</w:t>
      </w:r>
      <w:r>
        <w:rPr>
          <w:rFonts w:ascii="Arial" w:hAnsi="Arial" w:cs="Arial"/>
          <w:sz w:val="22"/>
          <w:szCs w:val="22"/>
        </w:rPr>
        <w:t>, l</w:t>
      </w:r>
      <w:r w:rsidRPr="00860101">
        <w:rPr>
          <w:rFonts w:ascii="Arial" w:hAnsi="Arial" w:cs="Arial"/>
          <w:sz w:val="22"/>
          <w:szCs w:val="22"/>
        </w:rPr>
        <w:t xml:space="preserve">e flux sortant </w:t>
      </w:r>
      <w:r>
        <w:rPr>
          <w:rFonts w:ascii="Arial" w:hAnsi="Arial" w:cs="Arial"/>
          <w:sz w:val="22"/>
          <w:szCs w:val="22"/>
        </w:rPr>
        <w:t xml:space="preserve">régional étant inférieur au flux </w:t>
      </w:r>
      <w:r w:rsidRPr="00860101">
        <w:rPr>
          <w:rFonts w:ascii="Arial" w:hAnsi="Arial" w:cs="Arial"/>
          <w:sz w:val="22"/>
          <w:szCs w:val="22"/>
        </w:rPr>
        <w:t>moyen sort</w:t>
      </w:r>
      <w:r>
        <w:rPr>
          <w:rFonts w:ascii="Arial" w:hAnsi="Arial" w:cs="Arial"/>
          <w:sz w:val="22"/>
          <w:szCs w:val="22"/>
        </w:rPr>
        <w:t xml:space="preserve">ant national. </w:t>
      </w:r>
    </w:p>
    <w:p w:rsidR="005C6438" w:rsidRDefault="005C6438" w:rsidP="005C6438"/>
    <w:p w:rsidR="005C6438" w:rsidRDefault="005C6438" w:rsidP="005C6438"/>
    <w:p w:rsidR="005C6438" w:rsidRDefault="005C6438" w:rsidP="005C6438"/>
    <w:p w:rsidR="005C6438" w:rsidRDefault="005C6438" w:rsidP="005C6438"/>
    <w:p w:rsidR="005C6438" w:rsidRDefault="005C6438">
      <w:pPr>
        <w:adjustRightInd w:val="0"/>
        <w:rPr>
          <w:rFonts w:ascii="Arial" w:hAnsi="Arial" w:cs="Arial"/>
          <w:color w:val="000000"/>
          <w:sz w:val="22"/>
          <w:szCs w:val="22"/>
        </w:rPr>
        <w:sectPr w:rsidR="005C6438">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E80DF0">
        <w:trPr>
          <w:cantSplit/>
          <w:jc w:val="center"/>
        </w:trPr>
        <w:tc>
          <w:tcPr>
            <w:tcW w:w="9051" w:type="dxa"/>
            <w:gridSpan w:val="4"/>
            <w:tcBorders>
              <w:top w:val="nil"/>
              <w:left w:val="nil"/>
              <w:bottom w:val="nil"/>
              <w:right w:val="nil"/>
            </w:tcBorders>
            <w:shd w:val="clear" w:color="auto" w:fill="FFFFFF"/>
          </w:tcPr>
          <w:p w:rsidR="00423AB6" w:rsidRDefault="00684888">
            <w:pPr>
              <w:adjustRightInd w:val="0"/>
              <w:jc w:val="both"/>
              <w:rPr>
                <w:rFonts w:ascii="Arial" w:hAnsi="Arial" w:cs="Arial"/>
                <w:b/>
                <w:bCs/>
                <w:color w:val="000000"/>
                <w:sz w:val="22"/>
                <w:szCs w:val="22"/>
              </w:rPr>
            </w:pPr>
            <w:bookmarkStart w:id="5" w:name="IDX4"/>
            <w:bookmarkEnd w:id="5"/>
            <w:r>
              <w:rPr>
                <w:rFonts w:ascii="Arial" w:hAnsi="Arial" w:cs="Arial"/>
                <w:color w:val="000000"/>
                <w:sz w:val="22"/>
                <w:szCs w:val="22"/>
              </w:rPr>
              <w:lastRenderedPageBreak/>
              <w:br/>
            </w:r>
            <w:r>
              <w:rPr>
                <w:rFonts w:ascii="Arial" w:hAnsi="Arial" w:cs="Arial"/>
                <w:b/>
                <w:bCs/>
                <w:color w:val="000000"/>
                <w:sz w:val="22"/>
                <w:szCs w:val="22"/>
              </w:rPr>
              <w:t>Diagnostic prénatal (DPN)</w:t>
            </w:r>
          </w:p>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E80DF0">
        <w:trPr>
          <w:cantSplit/>
          <w:jc w:val="center"/>
        </w:trPr>
        <w:tc>
          <w:tcPr>
            <w:tcW w:w="9051" w:type="dxa"/>
            <w:gridSpan w:val="4"/>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E80DF0">
        <w:trPr>
          <w:cantSplit/>
          <w:jc w:val="center"/>
        </w:trPr>
        <w:tc>
          <w:tcPr>
            <w:tcW w:w="9051" w:type="dxa"/>
            <w:gridSpan w:val="4"/>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423AB6">
        <w:trPr>
          <w:cantSplit/>
          <w:jc w:val="center"/>
        </w:trPr>
        <w:tc>
          <w:tcPr>
            <w:tcW w:w="9051" w:type="dxa"/>
            <w:gridSpan w:val="4"/>
            <w:tcBorders>
              <w:top w:val="nil"/>
              <w:left w:val="nil"/>
              <w:bottom w:val="nil"/>
              <w:right w:val="nil"/>
            </w:tcBorders>
            <w:shd w:val="clear" w:color="auto" w:fill="FFFFFF"/>
          </w:tcPr>
          <w:p w:rsidR="00423AB6" w:rsidRDefault="00423AB6" w:rsidP="00423AB6">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E80DF0">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E80DF0">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E80DF0">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E80DF0" w:rsidRDefault="00684888">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E80DF0" w:rsidRDefault="00684888">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E80DF0">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423AB6">
        <w:trPr>
          <w:cantSplit/>
          <w:jc w:val="center"/>
        </w:trPr>
        <w:tc>
          <w:tcPr>
            <w:tcW w:w="9051" w:type="dxa"/>
            <w:gridSpan w:val="4"/>
            <w:tcBorders>
              <w:top w:val="nil"/>
              <w:left w:val="nil"/>
              <w:bottom w:val="nil"/>
              <w:right w:val="nil"/>
            </w:tcBorders>
            <w:shd w:val="clear" w:color="auto" w:fill="FFFFFF"/>
          </w:tcPr>
          <w:p w:rsidR="00423AB6" w:rsidRDefault="00423AB6" w:rsidP="00423AB6">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 français ont réalisé des examens de génétique dans le cadre du dépistage de la trisomie 21.</w:t>
            </w:r>
          </w:p>
        </w:tc>
      </w:tr>
      <w:tr w:rsidR="00E80DF0">
        <w:trPr>
          <w:cantSplit/>
          <w:jc w:val="center"/>
        </w:trPr>
        <w:tc>
          <w:tcPr>
            <w:tcW w:w="9051" w:type="dxa"/>
            <w:gridSpan w:val="4"/>
            <w:tcBorders>
              <w:top w:val="nil"/>
              <w:left w:val="nil"/>
              <w:bottom w:val="nil"/>
              <w:right w:val="nil"/>
            </w:tcBorders>
            <w:shd w:val="clear" w:color="auto" w:fill="FFFFFF"/>
          </w:tcPr>
          <w:p w:rsidR="00423AB6" w:rsidRDefault="00423AB6" w:rsidP="00423AB6">
            <w:pPr>
              <w:adjustRightInd w:val="0"/>
              <w:jc w:val="both"/>
              <w:rPr>
                <w:rFonts w:ascii="Arial" w:hAnsi="Arial" w:cs="Arial"/>
                <w:color w:val="000000"/>
                <w:sz w:val="22"/>
                <w:szCs w:val="22"/>
              </w:rPr>
            </w:pPr>
            <w:r>
              <w:rPr>
                <w:rFonts w:ascii="Arial" w:hAnsi="Arial" w:cs="Arial"/>
                <w:color w:val="000000"/>
                <w:sz w:val="22"/>
                <w:szCs w:val="22"/>
              </w:rPr>
              <w:br/>
              <w:t xml:space="preserve">Il est important de noter que les prélèvements voyageant, les données relatives à l’activité des laboratoires de la région ne reflètent pas l’accès aux soins des femmes enceintes domiciliées </w:t>
            </w:r>
            <w:r w:rsidR="008C34D1">
              <w:rPr>
                <w:rFonts w:ascii="Arial" w:hAnsi="Arial" w:cs="Arial"/>
                <w:color w:val="000000"/>
                <w:sz w:val="22"/>
                <w:szCs w:val="22"/>
              </w:rPr>
              <w:t>en Guadeloupe</w:t>
            </w:r>
            <w:r>
              <w:rPr>
                <w:rFonts w:ascii="Arial" w:hAnsi="Arial" w:cs="Arial"/>
                <w:color w:val="000000"/>
                <w:sz w:val="22"/>
                <w:szCs w:val="22"/>
              </w:rPr>
              <w:t xml:space="preserve">. En particulier, des examens spécialisés comme l’hormonologie ou certains diagnostics génétiques ne sont proposés que par très peu de laboratoires au niveau national </w:t>
            </w:r>
            <w:r w:rsidRPr="00724245">
              <w:rPr>
                <w:rFonts w:ascii="Arial" w:hAnsi="Arial" w:cs="Arial"/>
                <w:color w:val="000000"/>
                <w:sz w:val="22"/>
              </w:rPr>
              <w:t>qui les réalisent pour l’ensemble des femmes françaises</w:t>
            </w:r>
            <w:r>
              <w:rPr>
                <w:rFonts w:ascii="Arial" w:hAnsi="Arial" w:cs="Arial"/>
                <w:color w:val="000000"/>
                <w:sz w:val="22"/>
                <w:szCs w:val="22"/>
              </w:rPr>
              <w:t>.</w:t>
            </w:r>
          </w:p>
          <w:p w:rsidR="00E80DF0" w:rsidRDefault="00E80DF0">
            <w:pPr>
              <w:adjustRightInd w:val="0"/>
              <w:jc w:val="both"/>
              <w:rPr>
                <w:rFonts w:ascii="Arial" w:hAnsi="Arial" w:cs="Arial"/>
                <w:color w:val="000000"/>
                <w:sz w:val="22"/>
                <w:szCs w:val="22"/>
              </w:rPr>
            </w:pPr>
          </w:p>
          <w:p w:rsidR="008B664D" w:rsidRDefault="008B664D">
            <w:pPr>
              <w:adjustRightInd w:val="0"/>
              <w:jc w:val="both"/>
              <w:rPr>
                <w:rFonts w:ascii="Arial" w:hAnsi="Arial" w:cs="Arial"/>
                <w:color w:val="000000"/>
                <w:sz w:val="22"/>
                <w:szCs w:val="22"/>
              </w:rPr>
            </w:pPr>
          </w:p>
          <w:p w:rsidR="008B664D" w:rsidRDefault="008B664D" w:rsidP="008B664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en</w:t>
            </w:r>
            <w:r w:rsidRPr="00C87ECD">
              <w:rPr>
                <w:rFonts w:ascii="Arial" w:hAnsi="Arial" w:cs="Arial"/>
                <w:color w:val="000000"/>
                <w:sz w:val="22"/>
                <w:szCs w:val="22"/>
              </w:rPr>
              <w:t xml:space="preserve"> </w:t>
            </w:r>
            <w:r>
              <w:rPr>
                <w:rFonts w:ascii="Arial" w:hAnsi="Arial" w:cs="Arial"/>
                <w:color w:val="000000"/>
                <w:sz w:val="22"/>
                <w:szCs w:val="22"/>
              </w:rPr>
              <w:t>Guadeloupe</w:t>
            </w:r>
            <w:r w:rsidRPr="00724245">
              <w:rPr>
                <w:rFonts w:ascii="Arial" w:hAnsi="Arial" w:cs="Arial"/>
                <w:color w:val="000000"/>
                <w:sz w:val="22"/>
                <w:szCs w:val="22"/>
              </w:rPr>
              <w:t xml:space="preserve">, </w:t>
            </w:r>
            <w:r>
              <w:rPr>
                <w:rFonts w:ascii="Arial" w:hAnsi="Arial" w:cs="Arial"/>
                <w:color w:val="000000"/>
                <w:sz w:val="22"/>
                <w:szCs w:val="22"/>
              </w:rPr>
              <w:t xml:space="preserve">2 laboratoires répartis dans 2 établissements </w:t>
            </w:r>
            <w:r w:rsidRPr="00724245">
              <w:rPr>
                <w:rFonts w:ascii="Arial" w:hAnsi="Arial" w:cs="Arial"/>
                <w:color w:val="000000"/>
                <w:sz w:val="22"/>
                <w:szCs w:val="22"/>
              </w:rPr>
              <w:t>avaient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8B664D" w:rsidRPr="00724245" w:rsidRDefault="008B664D" w:rsidP="008B664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Leurs activités incluaient des analyses de génétique moléc</w:t>
            </w:r>
            <w:r>
              <w:rPr>
                <w:rFonts w:ascii="Arial" w:hAnsi="Arial" w:cs="Arial"/>
                <w:color w:val="000000"/>
                <w:sz w:val="22"/>
                <w:szCs w:val="22"/>
              </w:rPr>
              <w:t xml:space="preserve">ulaire et </w:t>
            </w:r>
            <w:r w:rsidRPr="00724245">
              <w:rPr>
                <w:rFonts w:ascii="Arial" w:hAnsi="Arial" w:cs="Arial"/>
                <w:color w:val="000000"/>
                <w:sz w:val="22"/>
                <w:szCs w:val="22"/>
              </w:rPr>
              <w:t>l</w:t>
            </w:r>
            <w:r>
              <w:rPr>
                <w:rFonts w:ascii="Arial" w:hAnsi="Arial" w:cs="Arial"/>
                <w:color w:val="000000"/>
                <w:sz w:val="22"/>
                <w:szCs w:val="22"/>
              </w:rPr>
              <w:t>’analyse des marqueurs sériques</w:t>
            </w:r>
            <w:r w:rsidRPr="00724245">
              <w:rPr>
                <w:rFonts w:ascii="Arial" w:hAnsi="Arial" w:cs="Arial"/>
                <w:color w:val="000000"/>
                <w:sz w:val="22"/>
                <w:szCs w:val="22"/>
              </w:rPr>
              <w:t xml:space="preserve"> </w:t>
            </w:r>
            <w:r>
              <w:rPr>
                <w:rFonts w:ascii="Arial" w:hAnsi="Arial" w:cs="Arial"/>
                <w:color w:val="000000"/>
                <w:sz w:val="22"/>
                <w:szCs w:val="22"/>
              </w:rPr>
              <w:t>(Tableau DPN2)</w:t>
            </w:r>
            <w:r w:rsidRPr="00724245">
              <w:rPr>
                <w:rFonts w:ascii="Arial" w:hAnsi="Arial" w:cs="Arial"/>
                <w:color w:val="000000"/>
                <w:sz w:val="22"/>
                <w:szCs w:val="22"/>
              </w:rPr>
              <w:t xml:space="preserve">. </w:t>
            </w:r>
          </w:p>
          <w:p w:rsidR="008B664D" w:rsidRDefault="008B664D" w:rsidP="008B664D">
            <w:pPr>
              <w:adjustRightInd w:val="0"/>
              <w:spacing w:before="48" w:after="48"/>
              <w:jc w:val="both"/>
              <w:rPr>
                <w:rFonts w:ascii="Arial" w:hAnsi="Arial" w:cs="Arial"/>
                <w:color w:val="000000"/>
                <w:sz w:val="22"/>
                <w:szCs w:val="22"/>
              </w:rPr>
            </w:pPr>
            <w:r>
              <w:rPr>
                <w:rFonts w:ascii="Arial" w:hAnsi="Arial" w:cs="Arial"/>
                <w:color w:val="000000"/>
                <w:sz w:val="22"/>
                <w:szCs w:val="22"/>
              </w:rPr>
              <w:t>Aucun prélèvement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n’a été analysé dans la région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8B664D" w:rsidRPr="00724245" w:rsidRDefault="008B664D" w:rsidP="008B664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Pr>
                <w:rFonts w:ascii="Arial" w:hAnsi="Arial" w:cs="Arial"/>
                <w:color w:val="000000"/>
                <w:sz w:val="22"/>
                <w:szCs w:val="22"/>
              </w:rPr>
              <w:t>60,8</w:t>
            </w:r>
            <w:r w:rsidRPr="00724245">
              <w:rPr>
                <w:rFonts w:ascii="Arial" w:hAnsi="Arial" w:cs="Arial"/>
                <w:color w:val="000000"/>
                <w:sz w:val="22"/>
                <w:szCs w:val="22"/>
              </w:rPr>
              <w:t xml:space="preserve">% des cas et ceux du 2e trimestre dans </w:t>
            </w:r>
            <w:r>
              <w:rPr>
                <w:rFonts w:ascii="Arial" w:hAnsi="Arial" w:cs="Arial"/>
                <w:color w:val="000000"/>
                <w:sz w:val="22"/>
                <w:szCs w:val="22"/>
              </w:rPr>
              <w:t>39,2</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8B664D" w:rsidRDefault="008B664D" w:rsidP="008B664D"/>
          <w:p w:rsidR="008B664D" w:rsidRDefault="008B664D">
            <w:pPr>
              <w:adjustRightInd w:val="0"/>
              <w:jc w:val="both"/>
              <w:rPr>
                <w:rFonts w:ascii="Arial" w:hAnsi="Arial" w:cs="Arial"/>
                <w:color w:val="000000"/>
                <w:sz w:val="22"/>
                <w:szCs w:val="22"/>
              </w:rPr>
            </w:pPr>
          </w:p>
        </w:tc>
      </w:tr>
      <w:tr w:rsidR="00E80DF0">
        <w:trPr>
          <w:cantSplit/>
          <w:jc w:val="center"/>
        </w:trPr>
        <w:tc>
          <w:tcPr>
            <w:tcW w:w="9051" w:type="dxa"/>
            <w:gridSpan w:val="4"/>
            <w:tcBorders>
              <w:top w:val="nil"/>
              <w:left w:val="nil"/>
              <w:bottom w:val="nil"/>
              <w:right w:val="nil"/>
            </w:tcBorders>
            <w:shd w:val="clear" w:color="auto" w:fill="FFFFFF"/>
          </w:tcPr>
          <w:p w:rsidR="0005510F" w:rsidRDefault="00684888" w:rsidP="0005510F">
            <w:pPr>
              <w:adjustRightInd w:val="0"/>
              <w:jc w:val="both"/>
              <w:rPr>
                <w:rFonts w:ascii="Arial" w:hAnsi="Arial" w:cs="Arial"/>
                <w:color w:val="000000"/>
                <w:sz w:val="22"/>
                <w:szCs w:val="22"/>
              </w:rPr>
            </w:pPr>
            <w:r>
              <w:rPr>
                <w:rFonts w:ascii="Arial" w:hAnsi="Arial" w:cs="Arial"/>
                <w:color w:val="000000"/>
                <w:sz w:val="22"/>
                <w:szCs w:val="22"/>
              </w:rPr>
              <w:br/>
            </w:r>
            <w:r w:rsidR="0005510F">
              <w:rPr>
                <w:rFonts w:ascii="Arial" w:hAnsi="Arial" w:cs="Arial"/>
                <w:b/>
                <w:bCs/>
                <w:color w:val="000000"/>
                <w:sz w:val="22"/>
                <w:szCs w:val="22"/>
              </w:rPr>
              <w:t xml:space="preserve">Génétique postnatale </w:t>
            </w:r>
            <w:r w:rsidR="0005510F">
              <w:rPr>
                <w:rFonts w:ascii="Arial" w:hAnsi="Arial" w:cs="Arial"/>
                <w:color w:val="000000"/>
                <w:sz w:val="22"/>
                <w:szCs w:val="22"/>
              </w:rPr>
              <w:tab/>
            </w:r>
            <w:r w:rsidR="0005510F">
              <w:rPr>
                <w:rFonts w:ascii="Arial" w:hAnsi="Arial" w:cs="Arial"/>
                <w:color w:val="000000"/>
                <w:sz w:val="22"/>
                <w:szCs w:val="22"/>
              </w:rPr>
              <w:tab/>
            </w:r>
            <w:r w:rsidR="0005510F">
              <w:rPr>
                <w:rFonts w:ascii="Arial" w:hAnsi="Arial" w:cs="Arial"/>
                <w:color w:val="000000"/>
                <w:sz w:val="22"/>
                <w:szCs w:val="22"/>
              </w:rPr>
              <w:tab/>
            </w:r>
            <w:r w:rsidR="0005510F">
              <w:rPr>
                <w:rFonts w:ascii="Arial" w:hAnsi="Arial" w:cs="Arial"/>
                <w:color w:val="000000"/>
                <w:sz w:val="22"/>
                <w:szCs w:val="22"/>
              </w:rPr>
              <w:br/>
            </w:r>
          </w:p>
          <w:p w:rsidR="0005510F" w:rsidRDefault="0005510F" w:rsidP="0005510F">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E80DF0" w:rsidRDefault="0005510F" w:rsidP="0005510F">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E80DF0">
        <w:trPr>
          <w:cantSplit/>
          <w:jc w:val="center"/>
        </w:trPr>
        <w:tc>
          <w:tcPr>
            <w:tcW w:w="9051" w:type="dxa"/>
            <w:gridSpan w:val="4"/>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E80DF0">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E80DF0">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E80DF0" w:rsidRDefault="00684888">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E80DF0" w:rsidRDefault="00684888">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E80DF0">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E80DF0" w:rsidRDefault="00684888">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E80DF0">
        <w:trPr>
          <w:cantSplit/>
          <w:jc w:val="center"/>
        </w:trPr>
        <w:tc>
          <w:tcPr>
            <w:tcW w:w="9051" w:type="dxa"/>
            <w:gridSpan w:val="4"/>
            <w:tcBorders>
              <w:top w:val="nil"/>
              <w:left w:val="nil"/>
              <w:bottom w:val="nil"/>
              <w:right w:val="nil"/>
            </w:tcBorders>
            <w:shd w:val="clear" w:color="auto" w:fill="FFFFFF"/>
          </w:tcPr>
          <w:p w:rsidR="00E80DF0" w:rsidRDefault="00684888">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E80DF0">
        <w:trPr>
          <w:cantSplit/>
          <w:jc w:val="center"/>
        </w:trPr>
        <w:tc>
          <w:tcPr>
            <w:tcW w:w="9051" w:type="dxa"/>
            <w:gridSpan w:val="4"/>
            <w:tcBorders>
              <w:top w:val="nil"/>
              <w:left w:val="nil"/>
              <w:bottom w:val="nil"/>
              <w:right w:val="nil"/>
            </w:tcBorders>
            <w:shd w:val="clear" w:color="auto" w:fill="FFFFFF"/>
          </w:tcPr>
          <w:p w:rsidR="00E80DF0" w:rsidRDefault="00684888" w:rsidP="00AA3C5E">
            <w:pPr>
              <w:adjustRightInd w:val="0"/>
              <w:jc w:val="both"/>
              <w:rPr>
                <w:rFonts w:ascii="Arial" w:hAnsi="Arial" w:cs="Arial"/>
                <w:color w:val="000000"/>
                <w:sz w:val="22"/>
                <w:szCs w:val="22"/>
              </w:rPr>
            </w:pPr>
            <w:r>
              <w:rPr>
                <w:rFonts w:ascii="Arial" w:hAnsi="Arial" w:cs="Arial"/>
                <w:color w:val="000000"/>
                <w:sz w:val="22"/>
                <w:szCs w:val="22"/>
              </w:rPr>
              <w:br/>
              <w:t>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w:t>
            </w:r>
            <w:r w:rsidR="00AA3C5E">
              <w:rPr>
                <w:rFonts w:ascii="Arial" w:hAnsi="Arial" w:cs="Arial"/>
                <w:color w:val="000000"/>
                <w:sz w:val="22"/>
                <w:szCs w:val="22"/>
              </w:rPr>
              <w:t xml:space="preserve"> (ACPA)</w:t>
            </w:r>
            <w:r>
              <w:rPr>
                <w:rFonts w:ascii="Arial" w:hAnsi="Arial" w:cs="Arial"/>
                <w:color w:val="000000"/>
                <w:sz w:val="22"/>
                <w:szCs w:val="22"/>
              </w:rPr>
              <w:t>; techniques de séquençage à haut débit aussi appelées séquençage de nouvelle génération ou NGS).</w:t>
            </w:r>
          </w:p>
          <w:p w:rsidR="00AA3C5E" w:rsidRDefault="00AA3C5E" w:rsidP="00AA3C5E">
            <w:pPr>
              <w:adjustRightInd w:val="0"/>
              <w:jc w:val="both"/>
              <w:rPr>
                <w:rFonts w:ascii="Arial" w:hAnsi="Arial" w:cs="Arial"/>
                <w:color w:val="000000"/>
                <w:sz w:val="22"/>
                <w:szCs w:val="22"/>
              </w:rPr>
            </w:pPr>
            <w:r w:rsidRPr="00AA3C5E">
              <w:rPr>
                <w:rFonts w:ascii="Arial" w:hAnsi="Arial" w:cs="Arial"/>
                <w:color w:val="000000"/>
                <w:sz w:val="22"/>
                <w:szCs w:val="22"/>
              </w:rPr>
              <w:t xml:space="preserve">L'offre de soin dans la région Guadeloupe est </w:t>
            </w:r>
            <w:r>
              <w:rPr>
                <w:rFonts w:ascii="Arial" w:hAnsi="Arial" w:cs="Arial"/>
                <w:color w:val="000000"/>
                <w:sz w:val="22"/>
                <w:szCs w:val="22"/>
              </w:rPr>
              <w:t>plutôt faible au regard de</w:t>
            </w:r>
            <w:r w:rsidRPr="00AA3C5E">
              <w:rPr>
                <w:rFonts w:ascii="Arial" w:hAnsi="Arial" w:cs="Arial"/>
                <w:color w:val="000000"/>
                <w:sz w:val="22"/>
                <w:szCs w:val="22"/>
              </w:rPr>
              <w:t xml:space="preserve"> sa population qui représente 0,6% de la population française. En effet,</w:t>
            </w:r>
            <w:r>
              <w:rPr>
                <w:rFonts w:ascii="Arial" w:hAnsi="Arial" w:cs="Arial"/>
                <w:color w:val="000000"/>
                <w:sz w:val="22"/>
                <w:szCs w:val="22"/>
              </w:rPr>
              <w:t xml:space="preserve"> si</w:t>
            </w:r>
            <w:r w:rsidRPr="00AA3C5E">
              <w:rPr>
                <w:rFonts w:ascii="Arial" w:hAnsi="Arial" w:cs="Arial"/>
                <w:color w:val="000000"/>
                <w:sz w:val="22"/>
                <w:szCs w:val="22"/>
              </w:rPr>
              <w:t xml:space="preserve"> 0,4% des laboratoires autorisés le sont dans cette région</w:t>
            </w:r>
            <w:r>
              <w:rPr>
                <w:rFonts w:ascii="Arial" w:hAnsi="Arial" w:cs="Arial"/>
                <w:color w:val="000000"/>
                <w:sz w:val="22"/>
                <w:szCs w:val="22"/>
              </w:rPr>
              <w:t xml:space="preserve">, aucun examen de cytogénétique ou d’ACPA </w:t>
            </w:r>
            <w:r w:rsidRPr="00AA3C5E">
              <w:rPr>
                <w:rFonts w:ascii="Arial" w:hAnsi="Arial" w:cs="Arial"/>
                <w:color w:val="000000"/>
                <w:sz w:val="22"/>
                <w:szCs w:val="22"/>
              </w:rPr>
              <w:t xml:space="preserve">et </w:t>
            </w:r>
            <w:r>
              <w:rPr>
                <w:rFonts w:ascii="Arial" w:hAnsi="Arial" w:cs="Arial"/>
                <w:color w:val="000000"/>
                <w:sz w:val="22"/>
                <w:szCs w:val="22"/>
              </w:rPr>
              <w:t xml:space="preserve">seulement </w:t>
            </w:r>
            <w:r w:rsidRPr="00AA3C5E">
              <w:rPr>
                <w:rFonts w:ascii="Arial" w:hAnsi="Arial" w:cs="Arial"/>
                <w:color w:val="000000"/>
                <w:sz w:val="22"/>
                <w:szCs w:val="22"/>
              </w:rPr>
              <w:t>0,1% des examens de génétique moléculaire</w:t>
            </w:r>
            <w:r>
              <w:rPr>
                <w:rFonts w:ascii="Arial" w:hAnsi="Arial" w:cs="Arial"/>
                <w:color w:val="000000"/>
                <w:sz w:val="22"/>
                <w:szCs w:val="22"/>
              </w:rPr>
              <w:t xml:space="preserve"> y sont réalisé</w:t>
            </w:r>
            <w:r w:rsidRPr="00AA3C5E">
              <w:rPr>
                <w:rFonts w:ascii="Arial" w:hAnsi="Arial" w:cs="Arial"/>
                <w:color w:val="000000"/>
                <w:sz w:val="22"/>
                <w:szCs w:val="22"/>
              </w:rPr>
              <w:t>. Il est néanmoins important de ne pas oublier que la génétique postnatale concerne le plus souvent des maladies rares pour lesquelles l'offre de soins s'analyse plutôt au niveau national qu'au niveau régional.</w:t>
            </w:r>
          </w:p>
        </w:tc>
      </w:tr>
    </w:tbl>
    <w:p w:rsidR="00E80DF0" w:rsidRDefault="00E80DF0">
      <w:pPr>
        <w:adjustRightInd w:val="0"/>
        <w:rPr>
          <w:rFonts w:ascii="Arial" w:hAnsi="Arial" w:cs="Arial"/>
          <w:color w:val="000000"/>
          <w:sz w:val="22"/>
          <w:szCs w:val="22"/>
        </w:rPr>
        <w:sectPr w:rsidR="00E80DF0">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lastRenderedPageBreak/>
              <w:t>Tableaux</w:t>
            </w:r>
          </w:p>
        </w:tc>
      </w:tr>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b/>
                <w:bCs/>
                <w:color w:val="000000"/>
              </w:rPr>
            </w:pPr>
            <w:r>
              <w:rPr>
                <w:rFonts w:ascii="Arial" w:hAnsi="Arial" w:cs="Arial"/>
                <w:b/>
                <w:bCs/>
                <w:color w:val="000000"/>
              </w:rPr>
              <w:t>Tableau CPDPN1. Nombre de naissances dans la région Guadeloupe et en France en 2016</w:t>
            </w:r>
          </w:p>
        </w:tc>
      </w:tr>
    </w:tbl>
    <w:p w:rsidR="00E80DF0" w:rsidRDefault="00E80DF0">
      <w:pPr>
        <w:adjustRightInd w:val="0"/>
        <w:rPr>
          <w:rFonts w:ascii="Arial" w:hAnsi="Arial" w:cs="Arial"/>
          <w:b/>
          <w:bCs/>
          <w:color w:val="000000"/>
        </w:rPr>
      </w:pPr>
    </w:p>
    <w:p w:rsidR="00E80DF0" w:rsidRDefault="00E80DF0">
      <w:pPr>
        <w:adjustRightInd w:val="0"/>
        <w:rPr>
          <w:rFonts w:ascii="Arial" w:hAnsi="Arial" w:cs="Arial"/>
          <w:b/>
          <w:bCs/>
          <w:color w:val="000000"/>
        </w:rPr>
        <w:sectPr w:rsidR="00E80DF0">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967"/>
        <w:gridCol w:w="3207"/>
      </w:tblGrid>
      <w:tr w:rsidR="00E80DF0">
        <w:trPr>
          <w:cantSplit/>
          <w:tblHeader/>
        </w:trPr>
        <w:tc>
          <w:tcPr>
            <w:tcW w:w="296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E80DF0">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Guadeloupe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4 653</w:t>
            </w:r>
          </w:p>
        </w:tc>
      </w:tr>
      <w:tr w:rsidR="00E80DF0">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781 624</w:t>
            </w:r>
          </w:p>
        </w:tc>
      </w:tr>
    </w:tbl>
    <w:p w:rsidR="00E80DF0" w:rsidRDefault="00E80DF0">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b/>
                <w:bCs/>
                <w:color w:val="000000"/>
              </w:rPr>
            </w:pPr>
            <w:r>
              <w:rPr>
                <w:rFonts w:ascii="Arial" w:hAnsi="Arial" w:cs="Arial"/>
                <w:b/>
                <w:bCs/>
                <w:color w:val="000000"/>
              </w:rPr>
              <w:br/>
              <w:t>Tableau CPDPN2. Activité des CPDPN de la région Guadeloupe en 2016</w:t>
            </w:r>
          </w:p>
        </w:tc>
      </w:tr>
    </w:tbl>
    <w:p w:rsidR="00E80DF0" w:rsidRDefault="00E80DF0">
      <w:pPr>
        <w:adjustRightInd w:val="0"/>
        <w:rPr>
          <w:rFonts w:ascii="Arial" w:hAnsi="Arial" w:cs="Arial"/>
          <w:b/>
          <w:bCs/>
          <w:color w:val="000000"/>
        </w:rPr>
      </w:pPr>
    </w:p>
    <w:p w:rsidR="00E80DF0" w:rsidRDefault="00E80DF0">
      <w:pPr>
        <w:adjustRightInd w:val="0"/>
        <w:rPr>
          <w:rFonts w:ascii="Arial" w:hAnsi="Arial" w:cs="Arial"/>
          <w:b/>
          <w:bCs/>
          <w:color w:val="000000"/>
        </w:rPr>
        <w:sectPr w:rsidR="00E80DF0">
          <w:headerReference w:type="default" r:id="rId19"/>
          <w:footerReference w:type="default" r:id="rId2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051"/>
        <w:gridCol w:w="5075"/>
        <w:gridCol w:w="1896"/>
      </w:tblGrid>
      <w:tr w:rsidR="00E80DF0">
        <w:trPr>
          <w:cantSplit/>
          <w:tblHeader/>
        </w:trPr>
        <w:tc>
          <w:tcPr>
            <w:tcW w:w="205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Ville</w:t>
            </w:r>
          </w:p>
        </w:tc>
        <w:tc>
          <w:tcPr>
            <w:tcW w:w="507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r>
              <w:rPr>
                <w:rFonts w:ascii="Arial" w:hAnsi="Arial" w:cs="Arial"/>
                <w:b/>
                <w:bCs/>
                <w:color w:val="000000"/>
                <w:sz w:val="18"/>
                <w:szCs w:val="18"/>
                <w:vertAlign w:val="superscript"/>
              </w:rPr>
              <w:t>£</w:t>
            </w:r>
          </w:p>
        </w:tc>
      </w:tr>
      <w:tr w:rsidR="00E80DF0">
        <w:trPr>
          <w:cantSplit/>
        </w:trPr>
        <w:tc>
          <w:tcPr>
            <w:tcW w:w="20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LES ABYMES</w:t>
            </w:r>
          </w:p>
        </w:tc>
        <w:tc>
          <w:tcPr>
            <w:tcW w:w="5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CHU DE POINTE A PITRE ABYMES</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287</w:t>
            </w:r>
          </w:p>
        </w:tc>
      </w:tr>
    </w:tbl>
    <w:p w:rsidR="00E80DF0" w:rsidRDefault="00E80DF0">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Dossiers examinés avec avis rendu aux patientes ou aux médecins référents.</w:t>
            </w:r>
          </w:p>
        </w:tc>
      </w:tr>
      <w:tr w:rsidR="00E80DF0">
        <w:trPr>
          <w:cantSplit/>
          <w:jc w:val="center"/>
        </w:trPr>
        <w:tc>
          <w:tcPr>
            <w:tcW w:w="9071" w:type="dxa"/>
            <w:tcBorders>
              <w:top w:val="nil"/>
              <w:left w:val="nil"/>
              <w:bottom w:val="nil"/>
              <w:right w:val="nil"/>
            </w:tcBorders>
            <w:shd w:val="clear" w:color="auto" w:fill="FFFFFF"/>
          </w:tcPr>
          <w:p w:rsidR="00E80DF0" w:rsidRDefault="00684888" w:rsidP="004E20FB">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CPDPN3. Evolution de l'activité des CPDPN de la région Guadeloupe et de la France entre 2013 et 2016</w:t>
            </w:r>
          </w:p>
        </w:tc>
      </w:tr>
    </w:tbl>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21"/>
          <w:footerReference w:type="default" r:id="rId2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648"/>
        <w:gridCol w:w="1134"/>
        <w:gridCol w:w="2017"/>
        <w:gridCol w:w="2519"/>
        <w:gridCol w:w="1688"/>
      </w:tblGrid>
      <w:tr w:rsidR="00E80DF0">
        <w:trPr>
          <w:cantSplit/>
          <w:tblHeader/>
        </w:trPr>
        <w:tc>
          <w:tcPr>
            <w:tcW w:w="9006"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t>3.a Nombre de dossiers examinés, file active et attestations d'IMG délivrées</w:t>
            </w:r>
          </w:p>
        </w:tc>
      </w:tr>
      <w:tr w:rsidR="00E80DF0" w:rsidTr="004E20FB">
        <w:trPr>
          <w:cantSplit/>
          <w:tblHeader/>
        </w:trPr>
        <w:tc>
          <w:tcPr>
            <w:tcW w:w="1648" w:type="dxa"/>
            <w:tcBorders>
              <w:top w:val="nil"/>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134" w:type="dxa"/>
            <w:tcBorders>
              <w:top w:val="nil"/>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2017" w:type="dxa"/>
            <w:tcBorders>
              <w:top w:val="nil"/>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p>
        </w:tc>
        <w:tc>
          <w:tcPr>
            <w:tcW w:w="2519" w:type="dxa"/>
            <w:tcBorders>
              <w:top w:val="nil"/>
              <w:left w:val="single" w:sz="4" w:space="0" w:color="000000"/>
              <w:bottom w:val="single" w:sz="4" w:space="0" w:color="000000"/>
              <w:right w:val="nil"/>
            </w:tcBorders>
            <w:shd w:val="clear" w:color="auto" w:fill="FFFFFF"/>
            <w:tcMar>
              <w:left w:w="48" w:type="dxa"/>
              <w:right w:w="48" w:type="dxa"/>
            </w:tcMar>
            <w:vAlign w:val="center"/>
          </w:tcPr>
          <w:p w:rsidR="00E80DF0" w:rsidRDefault="00684888" w:rsidP="004E20FB">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Femmes/couples</w:t>
            </w:r>
            <w:r w:rsidR="004E20FB">
              <w:rPr>
                <w:rFonts w:ascii="Arial" w:hAnsi="Arial" w:cs="Arial"/>
                <w:b/>
                <w:bCs/>
                <w:color w:val="000000"/>
                <w:sz w:val="18"/>
                <w:szCs w:val="18"/>
              </w:rPr>
              <w:t xml:space="preserve"> </w:t>
            </w:r>
            <w:r>
              <w:rPr>
                <w:rFonts w:ascii="Arial" w:hAnsi="Arial" w:cs="Arial"/>
                <w:b/>
                <w:bCs/>
                <w:color w:val="000000"/>
                <w:sz w:val="18"/>
                <w:szCs w:val="18"/>
              </w:rPr>
              <w:t>dont le dossier</w:t>
            </w:r>
            <w:r w:rsidR="004E20FB">
              <w:rPr>
                <w:rFonts w:ascii="Arial" w:hAnsi="Arial" w:cs="Arial"/>
                <w:b/>
                <w:bCs/>
                <w:color w:val="000000"/>
                <w:sz w:val="18"/>
                <w:szCs w:val="18"/>
              </w:rPr>
              <w:t xml:space="preserve"> </w:t>
            </w:r>
            <w:r>
              <w:rPr>
                <w:rFonts w:ascii="Arial" w:hAnsi="Arial" w:cs="Arial"/>
                <w:b/>
                <w:bCs/>
                <w:color w:val="000000"/>
                <w:sz w:val="18"/>
                <w:szCs w:val="18"/>
              </w:rPr>
              <w:t>a été examinés</w:t>
            </w:r>
          </w:p>
        </w:tc>
        <w:tc>
          <w:tcPr>
            <w:tcW w:w="168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Attestations d'IMG pour motif fœtal</w:t>
            </w:r>
          </w:p>
        </w:tc>
      </w:tr>
      <w:tr w:rsidR="00E80DF0" w:rsidTr="004E20FB">
        <w:trPr>
          <w:cantSplit/>
        </w:trPr>
        <w:tc>
          <w:tcPr>
            <w:tcW w:w="164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Guadeloupe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20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251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244</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40</w:t>
            </w:r>
          </w:p>
        </w:tc>
      </w:tr>
      <w:tr w:rsidR="00E80DF0" w:rsidTr="004E20FB">
        <w:trPr>
          <w:cantSplit/>
        </w:trPr>
        <w:tc>
          <w:tcPr>
            <w:tcW w:w="164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keepNext/>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20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288</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280</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50</w:t>
            </w:r>
          </w:p>
        </w:tc>
      </w:tr>
      <w:tr w:rsidR="00E80DF0" w:rsidTr="004E20FB">
        <w:trPr>
          <w:cantSplit/>
        </w:trPr>
        <w:tc>
          <w:tcPr>
            <w:tcW w:w="164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20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287</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277</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48</w:t>
            </w:r>
          </w:p>
        </w:tc>
      </w:tr>
      <w:tr w:rsidR="00E80DF0" w:rsidTr="004E20FB">
        <w:trPr>
          <w:cantSplit/>
        </w:trPr>
        <w:tc>
          <w:tcPr>
            <w:tcW w:w="164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20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42 482</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29 491</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7 104</w:t>
            </w:r>
          </w:p>
        </w:tc>
      </w:tr>
      <w:tr w:rsidR="00E80DF0" w:rsidTr="004E20FB">
        <w:trPr>
          <w:cantSplit/>
        </w:trPr>
        <w:tc>
          <w:tcPr>
            <w:tcW w:w="164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keepNext/>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20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42 845</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31 814</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7 084</w:t>
            </w:r>
          </w:p>
        </w:tc>
      </w:tr>
      <w:tr w:rsidR="00E80DF0" w:rsidTr="004E20FB">
        <w:trPr>
          <w:cantSplit/>
        </w:trPr>
        <w:tc>
          <w:tcPr>
            <w:tcW w:w="164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20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46 511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33 154</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7 045</w:t>
            </w:r>
          </w:p>
        </w:tc>
      </w:tr>
    </w:tbl>
    <w:p w:rsidR="00E80DF0" w:rsidRDefault="00E80DF0">
      <w:pPr>
        <w:adjustRightInd w:val="0"/>
        <w:rPr>
          <w:rFonts w:ascii="Arial" w:hAnsi="Arial" w:cs="Arial"/>
          <w:color w:val="000000"/>
          <w:sz w:val="18"/>
          <w:szCs w:val="18"/>
        </w:rPr>
      </w:pPr>
    </w:p>
    <w:p w:rsidR="00E80DF0" w:rsidRDefault="00E80DF0">
      <w:pPr>
        <w:adjustRightInd w:val="0"/>
        <w:rPr>
          <w:rFonts w:ascii="Arial" w:hAnsi="Arial" w:cs="Arial"/>
          <w:color w:val="000000"/>
          <w:sz w:val="18"/>
          <w:szCs w:val="18"/>
        </w:rPr>
      </w:pPr>
    </w:p>
    <w:p w:rsidR="00E80DF0" w:rsidRDefault="00E80DF0">
      <w:pPr>
        <w:adjustRightInd w:val="0"/>
        <w:rPr>
          <w:rFonts w:ascii="Arial" w:hAnsi="Arial" w:cs="Arial"/>
          <w:color w:val="000000"/>
          <w:sz w:val="18"/>
          <w:szCs w:val="18"/>
        </w:rPr>
        <w:sectPr w:rsidR="00E80DF0">
          <w:headerReference w:type="default" r:id="rId23"/>
          <w:footerReference w:type="default" r:id="rId2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648"/>
        <w:gridCol w:w="1134"/>
        <w:gridCol w:w="2076"/>
        <w:gridCol w:w="2076"/>
        <w:gridCol w:w="2077"/>
      </w:tblGrid>
      <w:tr w:rsidR="00E80DF0">
        <w:trPr>
          <w:cantSplit/>
          <w:tblHeader/>
        </w:trPr>
        <w:tc>
          <w:tcPr>
            <w:tcW w:w="9011"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bookmarkStart w:id="9" w:name="IDX8"/>
            <w:bookmarkEnd w:id="9"/>
            <w:r>
              <w:rPr>
                <w:rFonts w:ascii="Arial" w:hAnsi="Arial" w:cs="Arial"/>
                <w:b/>
                <w:bCs/>
                <w:color w:val="000000"/>
                <w:sz w:val="18"/>
                <w:szCs w:val="18"/>
              </w:rPr>
              <w:t>3.b Nombre d'actes techniques</w:t>
            </w:r>
          </w:p>
        </w:tc>
      </w:tr>
      <w:tr w:rsidR="00E80DF0" w:rsidTr="00B75E30">
        <w:trPr>
          <w:cantSplit/>
          <w:tblHeader/>
        </w:trPr>
        <w:tc>
          <w:tcPr>
            <w:tcW w:w="1648" w:type="dxa"/>
            <w:tcBorders>
              <w:top w:val="nil"/>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134" w:type="dxa"/>
            <w:tcBorders>
              <w:top w:val="nil"/>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2076" w:type="dxa"/>
            <w:tcBorders>
              <w:top w:val="nil"/>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Echographies</w:t>
            </w:r>
            <w:r>
              <w:rPr>
                <w:rFonts w:ascii="Arial" w:hAnsi="Arial" w:cs="Arial"/>
                <w:b/>
                <w:bCs/>
                <w:color w:val="000000"/>
                <w:sz w:val="18"/>
                <w:szCs w:val="18"/>
              </w:rPr>
              <w:br/>
              <w:t>à visée diagnostique</w:t>
            </w:r>
          </w:p>
        </w:tc>
        <w:tc>
          <w:tcPr>
            <w:tcW w:w="2076" w:type="dxa"/>
            <w:tcBorders>
              <w:top w:val="nil"/>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Prélèvements</w:t>
            </w:r>
            <w:r>
              <w:rPr>
                <w:rFonts w:ascii="Arial" w:hAnsi="Arial" w:cs="Arial"/>
                <w:b/>
                <w:bCs/>
                <w:color w:val="000000"/>
                <w:sz w:val="18"/>
                <w:szCs w:val="18"/>
              </w:rPr>
              <w:br/>
              <w:t>à visée diagnostique</w:t>
            </w:r>
          </w:p>
        </w:tc>
        <w:tc>
          <w:tcPr>
            <w:tcW w:w="2077"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Gestes</w:t>
            </w:r>
            <w:r>
              <w:rPr>
                <w:rFonts w:ascii="Arial" w:hAnsi="Arial" w:cs="Arial"/>
                <w:b/>
                <w:bCs/>
                <w:color w:val="000000"/>
                <w:sz w:val="18"/>
                <w:szCs w:val="18"/>
              </w:rPr>
              <w:br/>
              <w:t>à visée thérapeutique</w:t>
            </w:r>
          </w:p>
        </w:tc>
      </w:tr>
      <w:tr w:rsidR="00E80DF0" w:rsidTr="00B75E30">
        <w:trPr>
          <w:cantSplit/>
        </w:trPr>
        <w:tc>
          <w:tcPr>
            <w:tcW w:w="164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Guadeloupe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375</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328</w:t>
            </w:r>
          </w:p>
        </w:tc>
        <w:tc>
          <w:tcPr>
            <w:tcW w:w="2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7</w:t>
            </w:r>
          </w:p>
        </w:tc>
      </w:tr>
      <w:tr w:rsidR="00E80DF0" w:rsidTr="00B75E30">
        <w:trPr>
          <w:cantSplit/>
        </w:trPr>
        <w:tc>
          <w:tcPr>
            <w:tcW w:w="164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keepNext/>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475</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312</w:t>
            </w:r>
          </w:p>
        </w:tc>
        <w:tc>
          <w:tcPr>
            <w:tcW w:w="2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7</w:t>
            </w:r>
          </w:p>
        </w:tc>
      </w:tr>
      <w:tr w:rsidR="00E80DF0" w:rsidTr="00B75E30">
        <w:trPr>
          <w:cantSplit/>
        </w:trPr>
        <w:tc>
          <w:tcPr>
            <w:tcW w:w="164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985</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282</w:t>
            </w:r>
          </w:p>
        </w:tc>
        <w:tc>
          <w:tcPr>
            <w:tcW w:w="2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r>
      <w:tr w:rsidR="00E80DF0" w:rsidTr="00B75E30">
        <w:trPr>
          <w:cantSplit/>
        </w:trPr>
        <w:tc>
          <w:tcPr>
            <w:tcW w:w="164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81 738</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18 524</w:t>
            </w:r>
          </w:p>
        </w:tc>
        <w:tc>
          <w:tcPr>
            <w:tcW w:w="2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r>
      <w:tr w:rsidR="00E80DF0" w:rsidTr="00B75E30">
        <w:trPr>
          <w:cantSplit/>
        </w:trPr>
        <w:tc>
          <w:tcPr>
            <w:tcW w:w="164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keepNext/>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94 386</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18 676</w:t>
            </w:r>
          </w:p>
        </w:tc>
        <w:tc>
          <w:tcPr>
            <w:tcW w:w="2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1 553</w:t>
            </w:r>
          </w:p>
        </w:tc>
      </w:tr>
      <w:tr w:rsidR="00E80DF0" w:rsidTr="00B75E30">
        <w:trPr>
          <w:cantSplit/>
        </w:trPr>
        <w:tc>
          <w:tcPr>
            <w:tcW w:w="164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93 474</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16 327</w:t>
            </w:r>
          </w:p>
        </w:tc>
        <w:tc>
          <w:tcPr>
            <w:tcW w:w="2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1 499</w:t>
            </w:r>
          </w:p>
        </w:tc>
      </w:tr>
    </w:tbl>
    <w:p w:rsidR="00E80DF0" w:rsidRDefault="00E80DF0">
      <w:pPr>
        <w:adjustRightInd w:val="0"/>
        <w:rPr>
          <w:rFonts w:ascii="Arial" w:hAnsi="Arial" w:cs="Arial"/>
          <w:color w:val="000000"/>
          <w:sz w:val="18"/>
          <w:szCs w:val="18"/>
        </w:rPr>
      </w:pPr>
    </w:p>
    <w:tbl>
      <w:tblPr>
        <w:tblW w:w="9047" w:type="dxa"/>
        <w:tblInd w:w="48" w:type="dxa"/>
        <w:tblLayout w:type="fixed"/>
        <w:tblCellMar>
          <w:left w:w="0" w:type="dxa"/>
          <w:right w:w="0" w:type="dxa"/>
        </w:tblCellMar>
        <w:tblLook w:val="0000" w:firstRow="0" w:lastRow="0" w:firstColumn="0" w:lastColumn="0" w:noHBand="0" w:noVBand="0"/>
      </w:tblPr>
      <w:tblGrid>
        <w:gridCol w:w="6758"/>
        <w:gridCol w:w="1408"/>
        <w:gridCol w:w="881"/>
      </w:tblGrid>
      <w:tr w:rsidR="00E80DF0" w:rsidTr="004E20FB">
        <w:trPr>
          <w:cantSplit/>
          <w:tblHeader/>
        </w:trPr>
        <w:tc>
          <w:tcPr>
            <w:tcW w:w="9047"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bookmarkStart w:id="10" w:name="IDX9"/>
            <w:bookmarkEnd w:id="10"/>
            <w:r>
              <w:rPr>
                <w:rFonts w:ascii="Arial" w:hAnsi="Arial" w:cs="Arial"/>
                <w:b/>
                <w:bCs/>
                <w:color w:val="000000"/>
                <w:sz w:val="18"/>
                <w:szCs w:val="18"/>
              </w:rPr>
              <w:t>3.c Activité rapportée aux naissances en 2016</w:t>
            </w:r>
          </w:p>
        </w:tc>
      </w:tr>
      <w:tr w:rsidR="00E80DF0" w:rsidTr="004E20FB">
        <w:trPr>
          <w:cantSplit/>
          <w:tblHeader/>
        </w:trPr>
        <w:tc>
          <w:tcPr>
            <w:tcW w:w="6758" w:type="dxa"/>
            <w:tcBorders>
              <w:top w:val="nil"/>
              <w:left w:val="single" w:sz="4" w:space="0" w:color="000000"/>
              <w:bottom w:val="single" w:sz="4" w:space="0" w:color="000000"/>
              <w:right w:val="nil"/>
            </w:tcBorders>
            <w:shd w:val="clear" w:color="auto" w:fill="FFFFFF"/>
            <w:tcMar>
              <w:left w:w="48" w:type="dxa"/>
              <w:right w:w="48" w:type="dxa"/>
            </w:tcMar>
            <w:vAlign w:val="center"/>
          </w:tcPr>
          <w:p w:rsidR="00E80DF0" w:rsidRDefault="00E80DF0">
            <w:pPr>
              <w:keepNext/>
              <w:adjustRightInd w:val="0"/>
              <w:spacing w:before="48" w:after="48"/>
              <w:jc w:val="center"/>
              <w:rPr>
                <w:rFonts w:ascii="Arial" w:hAnsi="Arial" w:cs="Arial"/>
                <w:b/>
                <w:bCs/>
                <w:color w:val="000000"/>
                <w:sz w:val="18"/>
                <w:szCs w:val="18"/>
              </w:rPr>
            </w:pPr>
          </w:p>
        </w:tc>
        <w:tc>
          <w:tcPr>
            <w:tcW w:w="1408" w:type="dxa"/>
            <w:tcBorders>
              <w:top w:val="nil"/>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Guadeloupe</w:t>
            </w:r>
          </w:p>
        </w:tc>
        <w:tc>
          <w:tcPr>
            <w:tcW w:w="881"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E80DF0" w:rsidTr="004E20FB">
        <w:trPr>
          <w:cantSplit/>
        </w:trPr>
        <w:tc>
          <w:tcPr>
            <w:tcW w:w="6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Nombre de dossiers examinés pour 100 naissances</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6,17%</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r>
      <w:tr w:rsidR="00E80DF0" w:rsidTr="004E20FB">
        <w:trPr>
          <w:cantSplit/>
        </w:trPr>
        <w:tc>
          <w:tcPr>
            <w:tcW w:w="6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Nombre de femmes vues pour 100 naissances</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r>
      <w:tr w:rsidR="00E80DF0" w:rsidTr="004E20FB">
        <w:trPr>
          <w:cantSplit/>
        </w:trPr>
        <w:tc>
          <w:tcPr>
            <w:tcW w:w="6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Nombre d'attestations d'IMG pour motif fœtal pour 100 naissances</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1,03%</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0,90%</w:t>
            </w:r>
          </w:p>
        </w:tc>
      </w:tr>
      <w:tr w:rsidR="00E80DF0" w:rsidTr="004E20FB">
        <w:trPr>
          <w:cantSplit/>
        </w:trPr>
        <w:tc>
          <w:tcPr>
            <w:tcW w:w="6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Nombre d'échographies diagnostiques pour 100 naissances</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21,17%</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11,96%</w:t>
            </w:r>
          </w:p>
        </w:tc>
      </w:tr>
      <w:tr w:rsidR="00E80DF0" w:rsidTr="004E20FB">
        <w:trPr>
          <w:cantSplit/>
        </w:trPr>
        <w:tc>
          <w:tcPr>
            <w:tcW w:w="6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Nombre de prélèvement à visées diagnostique pour 100 naissances</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6,06%</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2,09%</w:t>
            </w:r>
          </w:p>
        </w:tc>
      </w:tr>
      <w:tr w:rsidR="00E80DF0" w:rsidTr="004E20FB">
        <w:trPr>
          <w:cantSplit/>
        </w:trPr>
        <w:tc>
          <w:tcPr>
            <w:tcW w:w="6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Nombre de gestes à visée thérapeutique pour 100 naissances</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0,02%</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bl>
    <w:p w:rsidR="00684888" w:rsidRDefault="00684888">
      <w:pPr>
        <w:adjustRightInd w:val="0"/>
        <w:jc w:val="both"/>
        <w:rPr>
          <w:rFonts w:ascii="Arial" w:hAnsi="Arial" w:cs="Arial"/>
          <w:b/>
          <w:bCs/>
          <w:color w:val="000000"/>
        </w:rPr>
      </w:pPr>
      <w:r>
        <w:rPr>
          <w:rFonts w:ascii="Arial" w:hAnsi="Arial" w:cs="Arial"/>
          <w:b/>
          <w:bCs/>
          <w:color w:val="000000"/>
        </w:rPr>
        <w:lastRenderedPageBreak/>
        <w:t>Tableau CPDPN4. Région de résidence des femmes/couples dont le dossier a été examiné par un CPDPN de la région Guadeloupe en 2016</w:t>
      </w:r>
    </w:p>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25"/>
          <w:footerReference w:type="default" r:id="rId2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4507"/>
        <w:gridCol w:w="2225"/>
        <w:gridCol w:w="2225"/>
      </w:tblGrid>
      <w:tr w:rsidR="00684888" w:rsidTr="002026C5">
        <w:trPr>
          <w:cantSplit/>
          <w:tblHeader/>
        </w:trPr>
        <w:tc>
          <w:tcPr>
            <w:tcW w:w="4507"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684888" w:rsidRDefault="00B81BF2">
            <w:pPr>
              <w:keepNext/>
              <w:adjustRightInd w:val="0"/>
              <w:spacing w:before="48" w:after="48"/>
              <w:jc w:val="center"/>
              <w:rPr>
                <w:rFonts w:ascii="Arial" w:hAnsi="Arial" w:cs="Arial"/>
                <w:b/>
                <w:bCs/>
                <w:color w:val="000000"/>
                <w:sz w:val="18"/>
                <w:szCs w:val="18"/>
              </w:rPr>
            </w:pPr>
            <w:bookmarkStart w:id="11" w:name="IDX10"/>
            <w:bookmarkEnd w:id="11"/>
            <w:r>
              <w:rPr>
                <w:rFonts w:ascii="Arial" w:hAnsi="Arial" w:cs="Arial"/>
                <w:b/>
                <w:bCs/>
                <w:color w:val="000000"/>
                <w:sz w:val="18"/>
                <w:szCs w:val="18"/>
              </w:rPr>
              <w:t>Lieu</w:t>
            </w:r>
            <w:r w:rsidR="00684888">
              <w:rPr>
                <w:rFonts w:ascii="Arial" w:hAnsi="Arial" w:cs="Arial"/>
                <w:b/>
                <w:bCs/>
                <w:color w:val="000000"/>
                <w:sz w:val="18"/>
                <w:szCs w:val="18"/>
              </w:rPr>
              <w:t xml:space="preserve"> de résidence des femmes/couples vus</w:t>
            </w:r>
            <w:r>
              <w:rPr>
                <w:rFonts w:ascii="Arial" w:hAnsi="Arial" w:cs="Arial"/>
                <w:b/>
                <w:bCs/>
                <w:color w:val="000000"/>
                <w:sz w:val="18"/>
                <w:szCs w:val="18"/>
              </w:rPr>
              <w:t xml:space="preserve"> par un CPDPN de la région Guadeloupe</w:t>
            </w:r>
          </w:p>
          <w:p w:rsidR="00684888" w:rsidRDefault="00684888" w:rsidP="002026C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4450"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84888"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p>
        </w:tc>
      </w:tr>
      <w:tr w:rsidR="00684888" w:rsidTr="002026C5">
        <w:trPr>
          <w:cantSplit/>
          <w:tblHeader/>
        </w:trPr>
        <w:tc>
          <w:tcPr>
            <w:tcW w:w="4507" w:type="dxa"/>
            <w:vMerge/>
            <w:tcBorders>
              <w:left w:val="single" w:sz="4" w:space="0" w:color="000000"/>
              <w:bottom w:val="single" w:sz="4" w:space="0" w:color="000000"/>
              <w:right w:val="nil"/>
            </w:tcBorders>
            <w:shd w:val="clear" w:color="auto" w:fill="FFFFFF"/>
            <w:tcMar>
              <w:left w:w="48" w:type="dxa"/>
              <w:right w:w="48" w:type="dxa"/>
            </w:tcMar>
            <w:vAlign w:val="center"/>
          </w:tcPr>
          <w:p w:rsidR="00684888" w:rsidRDefault="00684888">
            <w:pPr>
              <w:keepNext/>
              <w:adjustRightInd w:val="0"/>
              <w:spacing w:before="48" w:after="48"/>
              <w:jc w:val="center"/>
              <w:rPr>
                <w:rFonts w:ascii="Arial" w:hAnsi="Arial" w:cs="Arial"/>
                <w:b/>
                <w:bCs/>
                <w:color w:val="000000"/>
                <w:sz w:val="18"/>
                <w:szCs w:val="18"/>
              </w:rPr>
            </w:pPr>
          </w:p>
        </w:tc>
        <w:tc>
          <w:tcPr>
            <w:tcW w:w="2225" w:type="dxa"/>
            <w:tcBorders>
              <w:top w:val="nil"/>
              <w:left w:val="single" w:sz="4" w:space="0" w:color="000000"/>
              <w:bottom w:val="single" w:sz="4" w:space="0" w:color="000000"/>
              <w:right w:val="nil"/>
            </w:tcBorders>
            <w:shd w:val="clear" w:color="auto" w:fill="FFFFFF"/>
            <w:tcMar>
              <w:left w:w="48" w:type="dxa"/>
              <w:right w:w="48" w:type="dxa"/>
            </w:tcMar>
            <w:vAlign w:val="center"/>
          </w:tcPr>
          <w:p w:rsidR="00684888"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222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684888"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E80DF0">
        <w:trPr>
          <w:cantSplit/>
        </w:trPr>
        <w:tc>
          <w:tcPr>
            <w:tcW w:w="4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Guadeloupe</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276</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99,64%</w:t>
            </w:r>
          </w:p>
        </w:tc>
      </w:tr>
      <w:tr w:rsidR="00E80DF0">
        <w:trPr>
          <w:cantSplit/>
        </w:trPr>
        <w:tc>
          <w:tcPr>
            <w:tcW w:w="4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Guyane</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0,36%</w:t>
            </w:r>
          </w:p>
        </w:tc>
      </w:tr>
    </w:tbl>
    <w:p w:rsidR="00E80DF0" w:rsidRDefault="00E80DF0">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CPDPN5. Régions d'implantation des CPDPN qui ont examiné les dossiers des femmes/couples résidant dans la région Guadeloupe en 2016</w:t>
            </w:r>
          </w:p>
        </w:tc>
      </w:tr>
    </w:tbl>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27"/>
          <w:footerReference w:type="default" r:id="rId2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809"/>
        <w:gridCol w:w="1597"/>
        <w:gridCol w:w="1597"/>
      </w:tblGrid>
      <w:tr w:rsidR="00684888" w:rsidTr="002E5AD8">
        <w:trPr>
          <w:cantSplit/>
          <w:tblHeader/>
        </w:trPr>
        <w:tc>
          <w:tcPr>
            <w:tcW w:w="5809"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684888" w:rsidRDefault="00684888">
            <w:pPr>
              <w:keepNext/>
              <w:adjustRightInd w:val="0"/>
              <w:spacing w:before="48" w:after="48"/>
              <w:jc w:val="center"/>
              <w:rPr>
                <w:rFonts w:ascii="Arial" w:hAnsi="Arial" w:cs="Arial"/>
                <w:b/>
                <w:bCs/>
                <w:color w:val="000000"/>
                <w:sz w:val="18"/>
                <w:szCs w:val="18"/>
              </w:rPr>
            </w:pPr>
            <w:bookmarkStart w:id="12" w:name="IDX11"/>
            <w:bookmarkEnd w:id="12"/>
            <w:r>
              <w:rPr>
                <w:rFonts w:ascii="Arial" w:hAnsi="Arial" w:cs="Arial"/>
                <w:b/>
                <w:bCs/>
                <w:color w:val="000000"/>
                <w:sz w:val="18"/>
                <w:szCs w:val="18"/>
              </w:rPr>
              <w:t>Localisation des CPDPN</w:t>
            </w:r>
          </w:p>
          <w:p w:rsidR="00684888" w:rsidRDefault="00684888" w:rsidP="00B81BF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r w:rsidR="00B81BF2">
              <w:rPr>
                <w:rFonts w:ascii="Arial" w:hAnsi="Arial" w:cs="Arial"/>
                <w:b/>
                <w:bCs/>
                <w:color w:val="000000"/>
                <w:sz w:val="18"/>
                <w:szCs w:val="18"/>
              </w:rPr>
              <w:t>ouvelle</w:t>
            </w:r>
            <w:r>
              <w:rPr>
                <w:rFonts w:ascii="Arial" w:hAnsi="Arial" w:cs="Arial"/>
                <w:b/>
                <w:bCs/>
                <w:color w:val="000000"/>
                <w:sz w:val="18"/>
                <w:szCs w:val="18"/>
              </w:rPr>
              <w:t xml:space="preserve"> région ~ ancienne région)</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84888"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 de la région Guadeloupe</w:t>
            </w:r>
          </w:p>
        </w:tc>
      </w:tr>
      <w:tr w:rsidR="00684888" w:rsidTr="002E5AD8">
        <w:trPr>
          <w:cantSplit/>
          <w:tblHeader/>
        </w:trPr>
        <w:tc>
          <w:tcPr>
            <w:tcW w:w="5809" w:type="dxa"/>
            <w:vMerge/>
            <w:tcBorders>
              <w:left w:val="single" w:sz="4" w:space="0" w:color="000000"/>
              <w:bottom w:val="single" w:sz="4" w:space="0" w:color="000000"/>
              <w:right w:val="nil"/>
            </w:tcBorders>
            <w:shd w:val="clear" w:color="auto" w:fill="FFFFFF"/>
            <w:tcMar>
              <w:left w:w="48" w:type="dxa"/>
              <w:right w:w="48" w:type="dxa"/>
            </w:tcMar>
            <w:vAlign w:val="center"/>
          </w:tcPr>
          <w:p w:rsidR="00684888" w:rsidRDefault="00684888">
            <w:pPr>
              <w:keepNext/>
              <w:adjustRightInd w:val="0"/>
              <w:spacing w:before="48" w:after="48"/>
              <w:jc w:val="center"/>
              <w:rPr>
                <w:rFonts w:ascii="Arial" w:hAnsi="Arial" w:cs="Arial"/>
                <w:b/>
                <w:bCs/>
                <w:color w:val="000000"/>
                <w:sz w:val="18"/>
                <w:szCs w:val="18"/>
              </w:rPr>
            </w:pPr>
          </w:p>
        </w:tc>
        <w:tc>
          <w:tcPr>
            <w:tcW w:w="1597" w:type="dxa"/>
            <w:tcBorders>
              <w:top w:val="nil"/>
              <w:left w:val="single" w:sz="4" w:space="0" w:color="000000"/>
              <w:bottom w:val="single" w:sz="4" w:space="0" w:color="000000"/>
              <w:right w:val="nil"/>
            </w:tcBorders>
            <w:shd w:val="clear" w:color="auto" w:fill="FFFFFF"/>
            <w:tcMar>
              <w:left w:w="48" w:type="dxa"/>
              <w:right w:w="48" w:type="dxa"/>
            </w:tcMar>
            <w:vAlign w:val="center"/>
          </w:tcPr>
          <w:p w:rsidR="00684888"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597"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684888"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E80DF0">
        <w:trPr>
          <w:cantSplit/>
        </w:trPr>
        <w:tc>
          <w:tcPr>
            <w:tcW w:w="58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Guadeloupe</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276</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98,57%</w:t>
            </w:r>
          </w:p>
        </w:tc>
      </w:tr>
      <w:tr w:rsidR="00E80DF0">
        <w:trPr>
          <w:cantSplit/>
        </w:trPr>
        <w:tc>
          <w:tcPr>
            <w:tcW w:w="58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0,71%</w:t>
            </w:r>
          </w:p>
        </w:tc>
      </w:tr>
      <w:tr w:rsidR="00E80DF0">
        <w:trPr>
          <w:cantSplit/>
        </w:trPr>
        <w:tc>
          <w:tcPr>
            <w:tcW w:w="58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Auvergne-Rhône-Alpes ~ Auvergne</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0,36%</w:t>
            </w:r>
          </w:p>
        </w:tc>
      </w:tr>
      <w:tr w:rsidR="00E80DF0">
        <w:trPr>
          <w:cantSplit/>
        </w:trPr>
        <w:tc>
          <w:tcPr>
            <w:tcW w:w="58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Martinique</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0,36%</w:t>
            </w:r>
          </w:p>
        </w:tc>
      </w:tr>
    </w:tbl>
    <w:p w:rsidR="00E80DF0" w:rsidRDefault="00E80DF0">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CPDPN5b. Nombre de femmes/couples résidant dans la région Guadeloupe et en France vus par un CPDPN en 2016</w:t>
            </w:r>
          </w:p>
        </w:tc>
      </w:tr>
    </w:tbl>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29"/>
          <w:footerReference w:type="default" r:id="rId3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312"/>
        <w:gridCol w:w="3322"/>
        <w:gridCol w:w="2356"/>
      </w:tblGrid>
      <w:tr w:rsidR="00E80DF0">
        <w:trPr>
          <w:cantSplit/>
          <w:tblHeader/>
        </w:trPr>
        <w:tc>
          <w:tcPr>
            <w:tcW w:w="331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bookmarkStart w:id="13" w:name="IDX12"/>
            <w:bookmarkEnd w:id="13"/>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32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E80DF0">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Guadeloupe</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280</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6,02%</w:t>
            </w:r>
          </w:p>
        </w:tc>
      </w:tr>
      <w:tr w:rsidR="006E5911">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E5911" w:rsidRDefault="006E5911" w:rsidP="006E5911">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E5911" w:rsidRDefault="006E5911" w:rsidP="006E591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E5911" w:rsidRDefault="006E5911" w:rsidP="006E591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bl>
    <w:p w:rsidR="00E80DF0" w:rsidRDefault="00E80DF0">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CPDPN6. Flux entrants et sortants dans la région Guadeloupe en 2016</w:t>
            </w:r>
          </w:p>
        </w:tc>
      </w:tr>
    </w:tbl>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31"/>
          <w:footerReference w:type="default" r:id="rId3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215"/>
        <w:gridCol w:w="1984"/>
        <w:gridCol w:w="1984"/>
      </w:tblGrid>
      <w:tr w:rsidR="00E80DF0">
        <w:trPr>
          <w:cantSplit/>
          <w:tblHeader/>
        </w:trPr>
        <w:tc>
          <w:tcPr>
            <w:tcW w:w="221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bookmarkStart w:id="14" w:name="IDX13"/>
            <w:bookmarkEnd w:id="14"/>
            <w:r>
              <w:rPr>
                <w:rFonts w:ascii="Arial" w:hAnsi="Arial" w:cs="Arial"/>
                <w:b/>
                <w:bCs/>
                <w:color w:val="000000"/>
                <w:sz w:val="18"/>
                <w:szCs w:val="18"/>
              </w:rPr>
              <w:t>Périmètre géographique</w:t>
            </w:r>
          </w:p>
        </w:tc>
        <w:tc>
          <w:tcPr>
            <w:tcW w:w="198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E80DF0">
        <w:trPr>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Guadeloupe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0,36%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1,43%</w:t>
            </w:r>
          </w:p>
        </w:tc>
      </w:tr>
      <w:tr w:rsidR="00E80DF0">
        <w:trPr>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8,97%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6,32%</w:t>
            </w:r>
          </w:p>
        </w:tc>
      </w:tr>
    </w:tbl>
    <w:p w:rsidR="00E80DF0" w:rsidRDefault="00E80DF0">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nouvelles régions disposant d'un CPDPN sur leur territoire (la Corse, la Guyane et Mayotte n'ont pas de CPDPN).</w:t>
            </w:r>
          </w:p>
        </w:tc>
      </w:tr>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i/>
                <w:iCs/>
                <w:color w:val="000000"/>
                <w:sz w:val="16"/>
                <w:szCs w:val="16"/>
              </w:rPr>
            </w:pPr>
            <w:r>
              <w:rPr>
                <w:rFonts w:ascii="Arial" w:hAnsi="Arial" w:cs="Arial"/>
                <w:i/>
                <w:iCs/>
                <w:color w:val="000000"/>
                <w:sz w:val="16"/>
                <w:szCs w:val="16"/>
              </w:rPr>
              <w:br/>
            </w:r>
            <w:r>
              <w:rPr>
                <w:rFonts w:ascii="Arial" w:hAnsi="Arial" w:cs="Arial"/>
                <w:i/>
                <w:iCs/>
                <w:color w:val="000000"/>
                <w:sz w:val="16"/>
                <w:szCs w:val="16"/>
                <w:vertAlign w:val="superscript"/>
              </w:rPr>
              <w:t>(1)</w:t>
            </w:r>
            <w:r>
              <w:rPr>
                <w:rFonts w:ascii="Arial" w:hAnsi="Arial" w:cs="Arial"/>
                <w:i/>
                <w:iCs/>
                <w:color w:val="000000"/>
                <w:sz w:val="16"/>
                <w:szCs w:val="16"/>
              </w:rPr>
              <w:t xml:space="preserve"> Part des femmes/couples résidant hors du périmètre géographique dont le dossier est examiné par un CPDPN du périmètre géographique.</w:t>
            </w:r>
            <w:r>
              <w:rPr>
                <w:rFonts w:ascii="Arial" w:hAnsi="Arial" w:cs="Arial"/>
                <w:i/>
                <w:iCs/>
                <w:color w:val="000000"/>
                <w:sz w:val="16"/>
                <w:szCs w:val="16"/>
              </w:rPr>
              <w:br/>
            </w:r>
            <w:r>
              <w:rPr>
                <w:rFonts w:ascii="Arial" w:hAnsi="Arial" w:cs="Arial"/>
                <w:i/>
                <w:iCs/>
                <w:color w:val="000000"/>
                <w:sz w:val="16"/>
                <w:szCs w:val="16"/>
                <w:vertAlign w:val="superscript"/>
              </w:rPr>
              <w:t>(2)</w:t>
            </w:r>
            <w:r>
              <w:rPr>
                <w:rFonts w:ascii="Arial" w:hAnsi="Arial" w:cs="Arial"/>
                <w:i/>
                <w:iCs/>
                <w:color w:val="000000"/>
                <w:sz w:val="16"/>
                <w:szCs w:val="16"/>
              </w:rPr>
              <w:t xml:space="preserve"> Part des femmes/couples résidant dans le périmètre géographique dont le dossier est examiné par un CPDPN localisé hors du périmètre géographique.</w:t>
            </w:r>
          </w:p>
        </w:tc>
      </w:tr>
    </w:tbl>
    <w:p w:rsidR="00E80DF0" w:rsidRDefault="00E80DF0">
      <w:pPr>
        <w:adjustRightInd w:val="0"/>
        <w:rPr>
          <w:rFonts w:ascii="Arial" w:hAnsi="Arial" w:cs="Arial"/>
          <w:i/>
          <w:iCs/>
          <w:color w:val="000000"/>
          <w:sz w:val="16"/>
          <w:szCs w:val="16"/>
        </w:rPr>
      </w:pPr>
    </w:p>
    <w:p w:rsidR="00143D09" w:rsidRDefault="00143D09">
      <w:pPr>
        <w:adjustRightInd w:val="0"/>
        <w:rPr>
          <w:rFonts w:ascii="Arial" w:hAnsi="Arial" w:cs="Arial"/>
          <w:i/>
          <w:iCs/>
          <w:color w:val="000000"/>
          <w:sz w:val="16"/>
          <w:szCs w:val="16"/>
        </w:rPr>
      </w:pPr>
    </w:p>
    <w:p w:rsidR="00143D09" w:rsidRDefault="00143D09">
      <w:pPr>
        <w:adjustRightInd w:val="0"/>
        <w:rPr>
          <w:rFonts w:ascii="Arial" w:hAnsi="Arial" w:cs="Arial"/>
          <w:i/>
          <w:iCs/>
          <w:color w:val="000000"/>
          <w:sz w:val="16"/>
          <w:szCs w:val="16"/>
        </w:rPr>
      </w:pPr>
    </w:p>
    <w:p w:rsidR="00143D09" w:rsidRDefault="00143D09">
      <w:pPr>
        <w:adjustRightInd w:val="0"/>
        <w:rPr>
          <w:rFonts w:ascii="Arial" w:hAnsi="Arial" w:cs="Arial"/>
          <w:i/>
          <w:iCs/>
          <w:color w:val="000000"/>
          <w:sz w:val="16"/>
          <w:szCs w:val="16"/>
        </w:rPr>
      </w:pPr>
    </w:p>
    <w:p w:rsidR="00143D09" w:rsidRDefault="00143D09">
      <w:pPr>
        <w:adjustRightInd w:val="0"/>
        <w:rPr>
          <w:rFonts w:ascii="Arial" w:hAnsi="Arial" w:cs="Arial"/>
          <w:i/>
          <w:iCs/>
          <w:color w:val="000000"/>
          <w:sz w:val="16"/>
          <w:szCs w:val="16"/>
        </w:rPr>
      </w:pPr>
    </w:p>
    <w:p w:rsidR="00143D09" w:rsidRDefault="00143D09">
      <w:pPr>
        <w:adjustRightInd w:val="0"/>
        <w:rPr>
          <w:rFonts w:ascii="Arial" w:hAnsi="Arial" w:cs="Arial"/>
          <w:i/>
          <w:iCs/>
          <w:color w:val="000000"/>
          <w:sz w:val="16"/>
          <w:szCs w:val="16"/>
        </w:rPr>
      </w:pPr>
    </w:p>
    <w:p w:rsidR="00143D09" w:rsidRDefault="00143D09">
      <w:pPr>
        <w:adjustRightInd w:val="0"/>
        <w:rPr>
          <w:rFonts w:ascii="Arial" w:hAnsi="Arial" w:cs="Arial"/>
          <w:i/>
          <w:iCs/>
          <w:color w:val="000000"/>
          <w:sz w:val="16"/>
          <w:szCs w:val="16"/>
        </w:rPr>
      </w:pPr>
    </w:p>
    <w:p w:rsidR="00143D09" w:rsidRDefault="00143D09">
      <w:pPr>
        <w:adjustRightInd w:val="0"/>
        <w:rPr>
          <w:rFonts w:ascii="Arial" w:hAnsi="Arial" w:cs="Arial"/>
          <w:i/>
          <w:iCs/>
          <w:color w:val="000000"/>
          <w:sz w:val="16"/>
          <w:szCs w:val="16"/>
        </w:rPr>
      </w:pPr>
    </w:p>
    <w:p w:rsidR="00143D09" w:rsidRDefault="00143D09">
      <w:pPr>
        <w:adjustRightInd w:val="0"/>
        <w:rPr>
          <w:rFonts w:ascii="Arial" w:hAnsi="Arial" w:cs="Arial"/>
          <w:i/>
          <w:iCs/>
          <w:color w:val="000000"/>
          <w:sz w:val="16"/>
          <w:szCs w:val="16"/>
        </w:rPr>
      </w:pPr>
    </w:p>
    <w:p w:rsidR="00143D09" w:rsidRDefault="00143D09">
      <w:pPr>
        <w:adjustRightInd w:val="0"/>
        <w:rPr>
          <w:rFonts w:ascii="Arial" w:hAnsi="Arial" w:cs="Arial"/>
          <w:i/>
          <w:iCs/>
          <w:color w:val="000000"/>
          <w:sz w:val="16"/>
          <w:szCs w:val="16"/>
        </w:rPr>
      </w:pPr>
    </w:p>
    <w:p w:rsidR="00143D09" w:rsidRPr="00143D09" w:rsidRDefault="00143D09" w:rsidP="00143D09">
      <w:pPr>
        <w:autoSpaceDE/>
        <w:autoSpaceDN/>
        <w:spacing w:after="160" w:line="259" w:lineRule="auto"/>
        <w:rPr>
          <w:rFonts w:ascii="Arial" w:eastAsiaTheme="minorHAnsi" w:hAnsi="Arial" w:cs="Arial"/>
          <w:b/>
          <w:bCs/>
          <w:color w:val="000000"/>
          <w:sz w:val="22"/>
          <w:szCs w:val="22"/>
          <w:lang w:eastAsia="en-US"/>
        </w:rPr>
      </w:pPr>
      <w:r w:rsidRPr="00143D09">
        <w:rPr>
          <w:rFonts w:ascii="Arial" w:eastAsiaTheme="minorHAnsi" w:hAnsi="Arial" w:cs="Arial"/>
          <w:b/>
          <w:bCs/>
          <w:color w:val="000000"/>
          <w:sz w:val="22"/>
          <w:szCs w:val="22"/>
          <w:lang w:eastAsia="en-US"/>
        </w:rPr>
        <w:t xml:space="preserve">Figure CPDPN1. Accès régional au CPDPN : </w:t>
      </w:r>
      <w:r w:rsidRPr="00143D09">
        <w:rPr>
          <w:rFonts w:ascii="Arial" w:eastAsiaTheme="minorHAnsi" w:hAnsi="Arial" w:cs="Arial"/>
          <w:b/>
          <w:bCs/>
          <w:color w:val="000000"/>
          <w:szCs w:val="22"/>
          <w:lang w:eastAsia="en-US"/>
        </w:rPr>
        <w:t>répartition</w:t>
      </w:r>
      <w:r w:rsidRPr="00143D09">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143D09" w:rsidRPr="00143D09" w:rsidRDefault="00143D09" w:rsidP="00143D09">
      <w:pPr>
        <w:autoSpaceDE/>
        <w:autoSpaceDN/>
        <w:spacing w:after="160" w:line="259" w:lineRule="auto"/>
        <w:rPr>
          <w:rFonts w:ascii="Arial" w:eastAsiaTheme="minorHAnsi" w:hAnsi="Arial" w:cs="Arial"/>
          <w:b/>
          <w:bCs/>
          <w:color w:val="000000"/>
          <w:sz w:val="22"/>
          <w:szCs w:val="22"/>
          <w:lang w:eastAsia="en-US"/>
        </w:rPr>
      </w:pPr>
    </w:p>
    <w:p w:rsidR="00143D09" w:rsidRPr="00143D09" w:rsidRDefault="00143D09" w:rsidP="00143D09">
      <w:pPr>
        <w:autoSpaceDE/>
        <w:autoSpaceDN/>
        <w:spacing w:after="160" w:line="259" w:lineRule="auto"/>
        <w:rPr>
          <w:rFonts w:asciiTheme="minorHAnsi" w:eastAsiaTheme="minorHAnsi" w:hAnsiTheme="minorHAnsi" w:cstheme="minorBidi"/>
          <w:sz w:val="22"/>
          <w:szCs w:val="22"/>
          <w:lang w:eastAsia="en-US"/>
        </w:rPr>
      </w:pPr>
      <w:r w:rsidRPr="00143D09">
        <w:rPr>
          <w:rFonts w:asciiTheme="minorHAnsi" w:eastAsiaTheme="minorHAnsi" w:hAnsiTheme="minorHAnsi" w:cstheme="minorBidi"/>
          <w:noProof/>
          <w:sz w:val="22"/>
          <w:szCs w:val="22"/>
        </w:rPr>
        <w:drawing>
          <wp:inline distT="0" distB="0" distL="0" distR="0" wp14:anchorId="792411A7" wp14:editId="77C63F8E">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143D09">
        <w:rPr>
          <w:rFonts w:asciiTheme="minorHAnsi" w:eastAsiaTheme="minorHAnsi" w:hAnsiTheme="minorHAnsi" w:cstheme="minorBidi"/>
          <w:noProof/>
          <w:sz w:val="22"/>
          <w:szCs w:val="22"/>
        </w:rPr>
        <w:drawing>
          <wp:inline distT="0" distB="0" distL="0" distR="0" wp14:anchorId="0B812F96" wp14:editId="760B50DA">
            <wp:extent cx="5760720" cy="3746500"/>
            <wp:effectExtent l="0" t="0" r="11430" b="635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43D09" w:rsidRDefault="00143D09">
      <w:pPr>
        <w:adjustRightInd w:val="0"/>
        <w:rPr>
          <w:rFonts w:ascii="Arial" w:hAnsi="Arial" w:cs="Arial"/>
          <w:i/>
          <w:iCs/>
          <w:color w:val="000000"/>
          <w:sz w:val="16"/>
          <w:szCs w:val="16"/>
        </w:rPr>
        <w:sectPr w:rsidR="00143D09">
          <w:headerReference w:type="default" r:id="rId35"/>
          <w:footerReference w:type="default" r:id="rId36"/>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b/>
                <w:bCs/>
                <w:color w:val="000000"/>
              </w:rPr>
            </w:pPr>
            <w:bookmarkStart w:id="15" w:name="IDX14"/>
            <w:bookmarkEnd w:id="15"/>
            <w:r>
              <w:rPr>
                <w:rFonts w:ascii="Arial" w:hAnsi="Arial" w:cs="Arial"/>
                <w:b/>
                <w:bCs/>
                <w:color w:val="000000"/>
              </w:rPr>
              <w:lastRenderedPageBreak/>
              <w:t>Tableau DPN1. Activités de DPN déclarées par établissement dans la région Guadeloupe en 2016</w:t>
            </w:r>
          </w:p>
        </w:tc>
      </w:tr>
    </w:tbl>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37"/>
          <w:footerReference w:type="default" r:id="rId3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302"/>
        <w:gridCol w:w="3396"/>
        <w:gridCol w:w="1008"/>
        <w:gridCol w:w="1165"/>
        <w:gridCol w:w="1102"/>
        <w:gridCol w:w="1082"/>
      </w:tblGrid>
      <w:tr w:rsidR="00E80DF0">
        <w:trPr>
          <w:cantSplit/>
          <w:tblHeader/>
        </w:trPr>
        <w:tc>
          <w:tcPr>
            <w:tcW w:w="130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339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00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Cyto-</w:t>
            </w:r>
            <w:r>
              <w:rPr>
                <w:rFonts w:ascii="Arial" w:hAnsi="Arial" w:cs="Arial"/>
                <w:b/>
                <w:bCs/>
                <w:color w:val="000000"/>
                <w:sz w:val="18"/>
                <w:szCs w:val="18"/>
              </w:rPr>
              <w:br/>
              <w:t>génétique</w:t>
            </w:r>
          </w:p>
        </w:tc>
        <w:tc>
          <w:tcPr>
            <w:tcW w:w="116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10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E80DF0">
        <w:trPr>
          <w:cantSplit/>
        </w:trPr>
        <w:tc>
          <w:tcPr>
            <w:tcW w:w="130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LES ABYMES</w:t>
            </w: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C.H.U. DE POINTE A PITRE/ABYMES</w:t>
            </w:r>
          </w:p>
        </w:tc>
        <w:tc>
          <w:tcPr>
            <w:tcW w:w="10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keepNext/>
              <w:adjustRightInd w:val="0"/>
              <w:spacing w:before="48" w:after="48"/>
              <w:jc w:val="center"/>
              <w:rPr>
                <w:rFonts w:ascii="Arial" w:hAnsi="Arial" w:cs="Arial"/>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keepNext/>
              <w:adjustRightInd w:val="0"/>
              <w:spacing w:before="48" w:after="48"/>
              <w:jc w:val="center"/>
              <w:rPr>
                <w:rFonts w:ascii="Arial" w:hAnsi="Arial" w:cs="Arial"/>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keepNext/>
              <w:adjustRightInd w:val="0"/>
              <w:spacing w:before="48" w:after="48"/>
              <w:jc w:val="center"/>
              <w:rPr>
                <w:rFonts w:ascii="Arial" w:hAnsi="Arial" w:cs="Arial"/>
                <w:color w:val="000000"/>
                <w:sz w:val="18"/>
                <w:szCs w:val="18"/>
              </w:rPr>
            </w:pPr>
          </w:p>
        </w:tc>
      </w:tr>
      <w:tr w:rsidR="00E80DF0">
        <w:trPr>
          <w:cantSplit/>
        </w:trPr>
        <w:tc>
          <w:tcPr>
            <w:tcW w:w="13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adjustRightInd w:val="0"/>
              <w:rPr>
                <w:sz w:val="24"/>
                <w:szCs w:val="24"/>
              </w:rPr>
            </w:pP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LBM SELARL SYNERGIBIO (ANABIO)</w:t>
            </w:r>
          </w:p>
        </w:tc>
        <w:tc>
          <w:tcPr>
            <w:tcW w:w="10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adjustRightInd w:val="0"/>
              <w:spacing w:before="48" w:after="48"/>
              <w:jc w:val="center"/>
              <w:rPr>
                <w:rFonts w:ascii="Arial" w:hAnsi="Arial" w:cs="Arial"/>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adjustRightInd w:val="0"/>
              <w:spacing w:before="48" w:after="48"/>
              <w:jc w:val="center"/>
              <w:rPr>
                <w:rFonts w:ascii="Arial" w:hAnsi="Arial" w:cs="Arial"/>
                <w:color w:val="000000"/>
                <w:sz w:val="18"/>
                <w:szCs w:val="18"/>
              </w:rPr>
            </w:pP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adjustRightInd w:val="0"/>
              <w:spacing w:before="48" w:after="48"/>
              <w:jc w:val="center"/>
              <w:rPr>
                <w:rFonts w:ascii="Arial" w:hAnsi="Arial" w:cs="Arial"/>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bl>
    <w:p w:rsidR="00E80DF0" w:rsidRDefault="00E80DF0">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DPN2. Nombre de laboratoires selon le type d'activité pratiquée dans la région Guadeloupe et en France en 2016</w:t>
            </w:r>
          </w:p>
        </w:tc>
      </w:tr>
    </w:tbl>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39"/>
          <w:footerReference w:type="default" r:id="rId4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4342"/>
        <w:gridCol w:w="2318"/>
        <w:gridCol w:w="2318"/>
      </w:tblGrid>
      <w:tr w:rsidR="00897C4C" w:rsidTr="00897C4C">
        <w:trPr>
          <w:cantSplit/>
          <w:tblHeader/>
        </w:trPr>
        <w:tc>
          <w:tcPr>
            <w:tcW w:w="4342"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897C4C" w:rsidRDefault="00897C4C" w:rsidP="00897C4C">
            <w:pPr>
              <w:keepNext/>
              <w:adjustRightInd w:val="0"/>
              <w:spacing w:before="48" w:after="48" w:line="256" w:lineRule="auto"/>
              <w:jc w:val="center"/>
              <w:rPr>
                <w:rFonts w:ascii="Arial" w:hAnsi="Arial" w:cs="Arial"/>
                <w:b/>
                <w:bCs/>
                <w:color w:val="000000"/>
                <w:sz w:val="18"/>
                <w:szCs w:val="18"/>
              </w:rPr>
            </w:pPr>
            <w:bookmarkStart w:id="16" w:name="IDX15"/>
            <w:bookmarkEnd w:id="16"/>
            <w:r>
              <w:rPr>
                <w:rFonts w:ascii="Arial" w:hAnsi="Arial" w:cs="Arial"/>
                <w:b/>
                <w:bCs/>
                <w:color w:val="000000"/>
                <w:sz w:val="18"/>
                <w:szCs w:val="18"/>
              </w:rPr>
              <w:t>Type d'activité</w:t>
            </w:r>
          </w:p>
        </w:tc>
        <w:tc>
          <w:tcPr>
            <w:tcW w:w="46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97C4C" w:rsidRDefault="00897C4C">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897C4C" w:rsidTr="00897C4C">
        <w:trPr>
          <w:cantSplit/>
          <w:tblHeader/>
        </w:trPr>
        <w:tc>
          <w:tcPr>
            <w:tcW w:w="4342"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897C4C" w:rsidRDefault="00897C4C" w:rsidP="00897C4C">
            <w:pPr>
              <w:keepNext/>
              <w:adjustRightInd w:val="0"/>
              <w:spacing w:before="48" w:after="48" w:line="256" w:lineRule="auto"/>
              <w:jc w:val="center"/>
              <w:rPr>
                <w:rFonts w:ascii="Arial" w:hAnsi="Arial" w:cs="Arial"/>
                <w:b/>
                <w:bCs/>
                <w:color w:val="000000"/>
                <w:sz w:val="18"/>
                <w:szCs w:val="18"/>
              </w:rPr>
            </w:pPr>
          </w:p>
        </w:tc>
        <w:tc>
          <w:tcPr>
            <w:tcW w:w="2318"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tcPr>
          <w:p w:rsidR="00897C4C" w:rsidRDefault="00897C4C" w:rsidP="00897C4C">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Guadeloupe</w:t>
            </w:r>
          </w:p>
        </w:tc>
        <w:tc>
          <w:tcPr>
            <w:tcW w:w="2318"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897C4C" w:rsidRDefault="00897C4C" w:rsidP="00897C4C">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897C4C" w:rsidTr="00897C4C">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97C4C" w:rsidRDefault="00897C4C" w:rsidP="00897C4C">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897C4C" w:rsidRDefault="00897C4C" w:rsidP="00897C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897C4C" w:rsidRDefault="00897C4C" w:rsidP="00897C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897C4C" w:rsidTr="00897C4C">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97C4C" w:rsidRDefault="00897C4C" w:rsidP="00897C4C">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897C4C" w:rsidRDefault="00897C4C" w:rsidP="00897C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897C4C" w:rsidRDefault="00897C4C" w:rsidP="00897C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897C4C" w:rsidTr="00897C4C">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97C4C" w:rsidRDefault="00897C4C" w:rsidP="00897C4C">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897C4C" w:rsidRDefault="00897C4C" w:rsidP="00897C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897C4C" w:rsidRDefault="00897C4C" w:rsidP="00897C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897C4C" w:rsidTr="00897C4C">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97C4C" w:rsidRDefault="00897C4C" w:rsidP="00897C4C">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897C4C" w:rsidRDefault="00897C4C" w:rsidP="00897C4C">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897C4C" w:rsidRDefault="00897C4C" w:rsidP="00897C4C">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r w:rsidR="00897C4C" w:rsidTr="00897C4C">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97C4C" w:rsidRDefault="00897C4C" w:rsidP="00897C4C">
            <w:pPr>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897C4C" w:rsidRDefault="00897C4C" w:rsidP="00897C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897C4C" w:rsidRDefault="00897C4C" w:rsidP="00897C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bl>
    <w:p w:rsidR="00E80DF0" w:rsidRDefault="00E80DF0">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DPN3. Nombre de prélèvements étudiés par type d'activité dans la région Guadeloupe et en France en 2016</w:t>
            </w:r>
          </w:p>
        </w:tc>
      </w:tr>
    </w:tbl>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41"/>
          <w:footerReference w:type="default" r:id="rId42"/>
          <w:type w:val="continuous"/>
          <w:pgSz w:w="11905" w:h="16837"/>
          <w:pgMar w:top="1701" w:right="1417" w:bottom="1134" w:left="1417" w:header="600" w:footer="600" w:gutter="0"/>
          <w:cols w:space="720"/>
        </w:sectPr>
      </w:pPr>
    </w:p>
    <w:tbl>
      <w:tblPr>
        <w:tblW w:w="9023" w:type="dxa"/>
        <w:tblInd w:w="48" w:type="dxa"/>
        <w:tblLayout w:type="fixed"/>
        <w:tblCellMar>
          <w:left w:w="0" w:type="dxa"/>
          <w:right w:w="0" w:type="dxa"/>
        </w:tblCellMar>
        <w:tblLook w:val="04A0" w:firstRow="1" w:lastRow="0" w:firstColumn="1" w:lastColumn="0" w:noHBand="0" w:noVBand="1"/>
      </w:tblPr>
      <w:tblGrid>
        <w:gridCol w:w="4307"/>
        <w:gridCol w:w="2358"/>
        <w:gridCol w:w="2358"/>
      </w:tblGrid>
      <w:tr w:rsidR="00126842" w:rsidTr="00126842">
        <w:trPr>
          <w:cantSplit/>
          <w:tblHeader/>
        </w:trPr>
        <w:tc>
          <w:tcPr>
            <w:tcW w:w="4307"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126842" w:rsidRDefault="00126842" w:rsidP="00A624A7">
            <w:pPr>
              <w:keepNext/>
              <w:adjustRightInd w:val="0"/>
              <w:spacing w:before="48" w:after="48" w:line="256" w:lineRule="auto"/>
              <w:jc w:val="center"/>
              <w:rPr>
                <w:rFonts w:ascii="Arial" w:hAnsi="Arial" w:cs="Arial"/>
                <w:b/>
                <w:bCs/>
                <w:color w:val="000000"/>
                <w:sz w:val="18"/>
                <w:szCs w:val="18"/>
              </w:rPr>
            </w:pPr>
            <w:bookmarkStart w:id="17" w:name="IDX16"/>
            <w:bookmarkEnd w:id="17"/>
            <w:r>
              <w:rPr>
                <w:rFonts w:ascii="Arial" w:hAnsi="Arial" w:cs="Arial"/>
                <w:b/>
                <w:bCs/>
                <w:color w:val="000000"/>
                <w:sz w:val="18"/>
                <w:szCs w:val="18"/>
              </w:rPr>
              <w:t>Type d'activité</w:t>
            </w:r>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126842" w:rsidRDefault="00126842">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126842" w:rsidTr="00126842">
        <w:trPr>
          <w:cantSplit/>
          <w:tblHeader/>
        </w:trPr>
        <w:tc>
          <w:tcPr>
            <w:tcW w:w="4307"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126842" w:rsidRDefault="00126842">
            <w:pPr>
              <w:keepNext/>
              <w:adjustRightInd w:val="0"/>
              <w:spacing w:before="48" w:after="48" w:line="256" w:lineRule="auto"/>
              <w:jc w:val="center"/>
              <w:rPr>
                <w:rFonts w:ascii="Arial" w:hAnsi="Arial" w:cs="Arial"/>
                <w:b/>
                <w:bCs/>
                <w:color w:val="000000"/>
                <w:sz w:val="18"/>
                <w:szCs w:val="18"/>
              </w:rPr>
            </w:pPr>
          </w:p>
        </w:tc>
        <w:tc>
          <w:tcPr>
            <w:tcW w:w="2358"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126842" w:rsidRDefault="00126842">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Guadeloupe</w:t>
            </w:r>
          </w:p>
        </w:tc>
        <w:tc>
          <w:tcPr>
            <w:tcW w:w="2358"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126842" w:rsidRDefault="00126842">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9C1F80" w:rsidTr="00126842">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9C1F80" w:rsidRDefault="009C1F80">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w:t>
            </w:r>
          </w:p>
        </w:tc>
      </w:tr>
      <w:tr w:rsidR="009C1F80" w:rsidTr="00126842">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rPr>
                <w:rFonts w:ascii="Arial" w:hAnsi="Arial" w:cs="Arial"/>
                <w:color w:val="000000"/>
                <w:sz w:val="18"/>
                <w:szCs w:val="18"/>
              </w:rPr>
            </w:pPr>
            <w:r>
              <w:rPr>
                <w:rFonts w:ascii="Arial" w:hAnsi="Arial" w:cs="Arial"/>
                <w:color w:val="000000"/>
                <w:sz w:val="18"/>
                <w:szCs w:val="18"/>
              </w:rPr>
              <w:t>- Maladie monogénique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11</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2 581</w:t>
            </w:r>
          </w:p>
        </w:tc>
      </w:tr>
      <w:tr w:rsidR="009C1F80" w:rsidTr="00126842">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rPr>
                <w:rFonts w:ascii="Arial" w:hAnsi="Arial" w:cs="Arial"/>
                <w:color w:val="000000"/>
                <w:sz w:val="18"/>
                <w:szCs w:val="18"/>
              </w:rPr>
            </w:pPr>
            <w:r>
              <w:rPr>
                <w:rFonts w:ascii="Arial" w:hAnsi="Arial" w:cs="Arial"/>
                <w:color w:val="000000"/>
                <w:sz w:val="18"/>
                <w:szCs w:val="18"/>
              </w:rPr>
              <w:t>- Caryotype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24 496</w:t>
            </w:r>
          </w:p>
        </w:tc>
      </w:tr>
      <w:tr w:rsidR="009C1F80" w:rsidTr="00126842">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rPr>
                <w:rFonts w:ascii="Arial" w:hAnsi="Arial" w:cs="Arial"/>
                <w:color w:val="000000"/>
                <w:sz w:val="18"/>
                <w:szCs w:val="18"/>
              </w:rPr>
            </w:pPr>
            <w:r>
              <w:rPr>
                <w:rFonts w:ascii="Arial" w:hAnsi="Arial" w:cs="Arial"/>
                <w:color w:val="000000"/>
                <w:sz w:val="18"/>
                <w:szCs w:val="18"/>
              </w:rPr>
              <w:t>- ADNlcT21</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21 161</w:t>
            </w:r>
          </w:p>
        </w:tc>
      </w:tr>
      <w:tr w:rsidR="009C1F80" w:rsidTr="00126842">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9C1F80" w:rsidRDefault="009C1F80">
            <w:pPr>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 et marqueurs sériques maternels</w:t>
            </w:r>
          </w:p>
        </w:tc>
      </w:tr>
      <w:tr w:rsidR="009C1F80" w:rsidTr="00126842">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rPr>
                <w:rFonts w:ascii="Arial" w:hAnsi="Arial" w:cs="Arial"/>
                <w:color w:val="000000"/>
                <w:sz w:val="18"/>
                <w:szCs w:val="18"/>
              </w:rPr>
            </w:pPr>
            <w:r>
              <w:rPr>
                <w:rFonts w:ascii="Arial" w:hAnsi="Arial" w:cs="Arial"/>
                <w:color w:val="000000"/>
                <w:sz w:val="18"/>
                <w:szCs w:val="18"/>
              </w:rPr>
              <w:t>- Marqueurs sériques maternels</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1 563</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654 220</w:t>
            </w:r>
          </w:p>
        </w:tc>
      </w:tr>
      <w:tr w:rsidR="009C1F80" w:rsidTr="00126842">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rPr>
                <w:rFonts w:ascii="Arial" w:hAnsi="Arial" w:cs="Arial"/>
                <w:color w:val="000000"/>
                <w:sz w:val="18"/>
                <w:szCs w:val="18"/>
              </w:rPr>
            </w:pPr>
            <w:r>
              <w:rPr>
                <w:rFonts w:ascii="Arial" w:hAnsi="Arial" w:cs="Arial"/>
                <w:color w:val="000000"/>
                <w:sz w:val="18"/>
                <w:szCs w:val="18"/>
              </w:rPr>
              <w:t>- Maladie héréditaire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348</w:t>
            </w:r>
          </w:p>
        </w:tc>
      </w:tr>
      <w:tr w:rsidR="009C1F80" w:rsidTr="00126842">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rPr>
                <w:rFonts w:ascii="Arial" w:hAnsi="Arial" w:cs="Arial"/>
                <w:color w:val="000000"/>
                <w:sz w:val="18"/>
                <w:szCs w:val="18"/>
              </w:rPr>
            </w:pPr>
            <w:r>
              <w:rPr>
                <w:rFonts w:ascii="Arial" w:hAnsi="Arial" w:cs="Arial"/>
                <w:color w:val="000000"/>
                <w:sz w:val="18"/>
                <w:szCs w:val="18"/>
              </w:rPr>
              <w:t>- Hormonologie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53</w:t>
            </w:r>
          </w:p>
        </w:tc>
      </w:tr>
      <w:tr w:rsidR="009C1F80" w:rsidTr="00126842">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rPr>
                <w:rFonts w:ascii="Arial" w:hAnsi="Arial" w:cs="Arial"/>
                <w:color w:val="000000"/>
                <w:sz w:val="18"/>
                <w:szCs w:val="18"/>
              </w:rPr>
            </w:pPr>
            <w:r>
              <w:rPr>
                <w:rFonts w:ascii="Arial" w:hAnsi="Arial" w:cs="Arial"/>
                <w:color w:val="000000"/>
                <w:sz w:val="18"/>
                <w:szCs w:val="18"/>
              </w:rPr>
              <w:t>- DFTN</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1 310</w:t>
            </w:r>
          </w:p>
        </w:tc>
      </w:tr>
      <w:tr w:rsidR="009C1F80" w:rsidTr="00126842">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9C1F80" w:rsidRDefault="009C1F80">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Maladies infectieuses</w:t>
            </w:r>
          </w:p>
        </w:tc>
      </w:tr>
      <w:tr w:rsidR="009C1F80" w:rsidTr="00126842">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 Toxoplasmose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1 080</w:t>
            </w:r>
          </w:p>
        </w:tc>
      </w:tr>
      <w:tr w:rsidR="009C1F80" w:rsidTr="00126842">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rPr>
                <w:rFonts w:ascii="Arial" w:hAnsi="Arial" w:cs="Arial"/>
                <w:color w:val="000000"/>
                <w:sz w:val="18"/>
                <w:szCs w:val="18"/>
              </w:rPr>
            </w:pPr>
            <w:r>
              <w:rPr>
                <w:rFonts w:ascii="Arial" w:hAnsi="Arial" w:cs="Arial"/>
                <w:color w:val="000000"/>
                <w:sz w:val="18"/>
                <w:szCs w:val="18"/>
              </w:rPr>
              <w:t>- Virologie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C1F80" w:rsidRDefault="009C1F8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3 034</w:t>
            </w:r>
          </w:p>
        </w:tc>
      </w:tr>
    </w:tbl>
    <w:p w:rsidR="00E80DF0" w:rsidRDefault="00E80DF0">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b/>
                <w:bCs/>
                <w:color w:val="000000"/>
              </w:rPr>
            </w:pPr>
            <w:r>
              <w:rPr>
                <w:rFonts w:ascii="Arial" w:hAnsi="Arial" w:cs="Arial"/>
                <w:b/>
                <w:bCs/>
                <w:color w:val="000000"/>
              </w:rPr>
              <w:br/>
              <w:t>Tableau DPN4. Nombre de femmes ayant réalisé un dépistage de la trisomie 21 par marqueurs sériques maternels dans un laboratoire de la région Guadeloupe et en France en 2016</w:t>
            </w:r>
          </w:p>
        </w:tc>
      </w:tr>
    </w:tbl>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43"/>
          <w:footerReference w:type="default" r:id="rId4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916"/>
        <w:gridCol w:w="1772"/>
        <w:gridCol w:w="1772"/>
      </w:tblGrid>
      <w:tr w:rsidR="00E80DF0" w:rsidTr="00684888">
        <w:trPr>
          <w:cantSplit/>
          <w:trHeight w:val="303"/>
          <w:tblHeader/>
        </w:trPr>
        <w:tc>
          <w:tcPr>
            <w:tcW w:w="391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bookmarkStart w:id="18" w:name="IDX17"/>
            <w:bookmarkEnd w:id="18"/>
            <w:r>
              <w:rPr>
                <w:rFonts w:ascii="Arial" w:hAnsi="Arial" w:cs="Arial"/>
                <w:b/>
                <w:bCs/>
                <w:color w:val="000000"/>
                <w:sz w:val="18"/>
                <w:szCs w:val="18"/>
              </w:rPr>
              <w:t>Type de marqueurs sériques maternels</w:t>
            </w:r>
          </w:p>
        </w:tc>
        <w:tc>
          <w:tcPr>
            <w:tcW w:w="177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Guadeloupe</w:t>
            </w:r>
          </w:p>
        </w:tc>
      </w:tr>
      <w:tr w:rsidR="00E80DF0" w:rsidTr="00684888">
        <w:trPr>
          <w:cantSplit/>
          <w:trHeight w:val="303"/>
        </w:trPr>
        <w:tc>
          <w:tcPr>
            <w:tcW w:w="391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951</w:t>
            </w:r>
          </w:p>
        </w:tc>
      </w:tr>
      <w:tr w:rsidR="00E80DF0" w:rsidTr="00684888">
        <w:trPr>
          <w:cantSplit/>
          <w:trHeight w:val="303"/>
        </w:trPr>
        <w:tc>
          <w:tcPr>
            <w:tcW w:w="391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612</w:t>
            </w:r>
          </w:p>
        </w:tc>
      </w:tr>
    </w:tbl>
    <w:p w:rsidR="00E80DF0" w:rsidRDefault="00E80DF0">
      <w:pPr>
        <w:adjustRightInd w:val="0"/>
        <w:rPr>
          <w:rFonts w:ascii="Arial" w:hAnsi="Arial" w:cs="Arial"/>
          <w:color w:val="000000"/>
          <w:sz w:val="18"/>
          <w:szCs w:val="18"/>
        </w:rPr>
      </w:pPr>
    </w:p>
    <w:p w:rsidR="00E80DF0" w:rsidRDefault="00E80DF0">
      <w:pPr>
        <w:adjustRightInd w:val="0"/>
        <w:rPr>
          <w:rFonts w:ascii="Arial" w:hAnsi="Arial" w:cs="Arial"/>
          <w:color w:val="000000"/>
          <w:sz w:val="18"/>
          <w:szCs w:val="18"/>
        </w:rPr>
        <w:sectPr w:rsidR="00E80DF0">
          <w:headerReference w:type="default" r:id="rId45"/>
          <w:footerReference w:type="default" r:id="rId46"/>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b/>
                <w:bCs/>
                <w:color w:val="000000"/>
              </w:rPr>
            </w:pPr>
            <w:bookmarkStart w:id="19" w:name="IDX18"/>
            <w:bookmarkEnd w:id="19"/>
            <w:r>
              <w:rPr>
                <w:rFonts w:ascii="Arial" w:hAnsi="Arial" w:cs="Arial"/>
                <w:b/>
                <w:bCs/>
                <w:color w:val="000000"/>
              </w:rPr>
              <w:lastRenderedPageBreak/>
              <w:t>Tableau GENPOST1. Activités de génétique postnatale déclarées par établissement dans la région Guadeloupe en 2017</w:t>
            </w:r>
          </w:p>
        </w:tc>
      </w:tr>
    </w:tbl>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47"/>
          <w:footerReference w:type="default" r:id="rId48"/>
          <w:pgSz w:w="11905" w:h="16837"/>
          <w:pgMar w:top="1701" w:right="1417" w:bottom="1134" w:left="1417" w:header="600" w:footer="600" w:gutter="0"/>
          <w:cols w:space="720"/>
        </w:sectPr>
      </w:pPr>
    </w:p>
    <w:tbl>
      <w:tblPr>
        <w:tblW w:w="9036" w:type="dxa"/>
        <w:tblInd w:w="48" w:type="dxa"/>
        <w:tblLayout w:type="fixed"/>
        <w:tblCellMar>
          <w:left w:w="0" w:type="dxa"/>
          <w:right w:w="0" w:type="dxa"/>
        </w:tblCellMar>
        <w:tblLook w:val="0000" w:firstRow="0" w:lastRow="0" w:firstColumn="0" w:lastColumn="0" w:noHBand="0" w:noVBand="0"/>
      </w:tblPr>
      <w:tblGrid>
        <w:gridCol w:w="1078"/>
        <w:gridCol w:w="2420"/>
        <w:gridCol w:w="3043"/>
        <w:gridCol w:w="1247"/>
        <w:gridCol w:w="1248"/>
      </w:tblGrid>
      <w:tr w:rsidR="00E80DF0" w:rsidTr="00B75E30">
        <w:trPr>
          <w:cantSplit/>
          <w:tblHeader/>
        </w:trPr>
        <w:tc>
          <w:tcPr>
            <w:tcW w:w="107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42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304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Service</w:t>
            </w:r>
          </w:p>
        </w:tc>
        <w:tc>
          <w:tcPr>
            <w:tcW w:w="124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cyto-</w:t>
            </w:r>
            <w:r>
              <w:rPr>
                <w:rFonts w:ascii="Arial" w:hAnsi="Arial" w:cs="Arial"/>
                <w:b/>
                <w:bCs/>
                <w:color w:val="000000"/>
                <w:sz w:val="18"/>
                <w:szCs w:val="18"/>
              </w:rPr>
              <w:br/>
              <w:t>génétique</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génétique moléculaire</w:t>
            </w:r>
          </w:p>
        </w:tc>
      </w:tr>
      <w:tr w:rsidR="00E80DF0" w:rsidTr="00B75E30">
        <w:trPr>
          <w:cantSplit/>
        </w:trPr>
        <w:tc>
          <w:tcPr>
            <w:tcW w:w="10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LES ABYMES</w:t>
            </w:r>
          </w:p>
        </w:tc>
        <w:tc>
          <w:tcPr>
            <w:tcW w:w="24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C.H.U. DE POINTE A PITRE/ABYMES</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Unité Transversale - Centre de la Drépanocytose</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bl>
    <w:p w:rsidR="00E80DF0" w:rsidRDefault="00E80DF0">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GENPOST2. Nombre de laboratoires de génétique postnatale selon le type d'activité pratiquée dans la région Guadeloupe et en France en 2017</w:t>
            </w:r>
          </w:p>
        </w:tc>
      </w:tr>
    </w:tbl>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49"/>
          <w:footerReference w:type="default" r:id="rId50"/>
          <w:type w:val="continuous"/>
          <w:pgSz w:w="11905" w:h="16837"/>
          <w:pgMar w:top="1701" w:right="1417" w:bottom="1134" w:left="1417" w:header="600" w:footer="600" w:gutter="0"/>
          <w:cols w:space="720"/>
        </w:sectPr>
      </w:pPr>
    </w:p>
    <w:tbl>
      <w:tblPr>
        <w:tblW w:w="9046" w:type="dxa"/>
        <w:tblInd w:w="48" w:type="dxa"/>
        <w:tblLayout w:type="fixed"/>
        <w:tblCellMar>
          <w:left w:w="0" w:type="dxa"/>
          <w:right w:w="0" w:type="dxa"/>
        </w:tblCellMar>
        <w:tblLook w:val="0000" w:firstRow="0" w:lastRow="0" w:firstColumn="0" w:lastColumn="0" w:noHBand="0" w:noVBand="0"/>
      </w:tblPr>
      <w:tblGrid>
        <w:gridCol w:w="6184"/>
        <w:gridCol w:w="1431"/>
        <w:gridCol w:w="1431"/>
      </w:tblGrid>
      <w:tr w:rsidR="00E26BE5" w:rsidTr="00B75E30">
        <w:trPr>
          <w:cantSplit/>
          <w:tblHeader/>
        </w:trPr>
        <w:tc>
          <w:tcPr>
            <w:tcW w:w="6184"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E26BE5" w:rsidRDefault="00E26BE5" w:rsidP="00485F0A">
            <w:pPr>
              <w:keepNext/>
              <w:adjustRightInd w:val="0"/>
              <w:spacing w:before="48" w:after="48"/>
              <w:jc w:val="center"/>
              <w:rPr>
                <w:rFonts w:ascii="Arial" w:hAnsi="Arial" w:cs="Arial"/>
                <w:b/>
                <w:bCs/>
                <w:color w:val="000000"/>
                <w:sz w:val="18"/>
                <w:szCs w:val="18"/>
              </w:rPr>
            </w:pPr>
            <w:bookmarkStart w:id="20" w:name="IDX19"/>
            <w:bookmarkEnd w:id="20"/>
            <w:r>
              <w:rPr>
                <w:rFonts w:ascii="Arial" w:hAnsi="Arial" w:cs="Arial"/>
                <w:b/>
                <w:bCs/>
                <w:color w:val="000000"/>
                <w:sz w:val="18"/>
                <w:szCs w:val="18"/>
              </w:rPr>
              <w:t>Type d'activité</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26BE5" w:rsidRDefault="00E26B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laboratoires</w:t>
            </w:r>
          </w:p>
        </w:tc>
      </w:tr>
      <w:tr w:rsidR="00E26BE5" w:rsidTr="00B75E30">
        <w:trPr>
          <w:cantSplit/>
          <w:tblHeader/>
        </w:trPr>
        <w:tc>
          <w:tcPr>
            <w:tcW w:w="6184" w:type="dxa"/>
            <w:vMerge/>
            <w:tcBorders>
              <w:left w:val="single" w:sz="4" w:space="0" w:color="000000"/>
              <w:bottom w:val="single" w:sz="4" w:space="0" w:color="000000"/>
              <w:right w:val="nil"/>
            </w:tcBorders>
            <w:shd w:val="clear" w:color="auto" w:fill="FFFFFF"/>
            <w:tcMar>
              <w:left w:w="48" w:type="dxa"/>
              <w:right w:w="48" w:type="dxa"/>
            </w:tcMar>
            <w:vAlign w:val="center"/>
          </w:tcPr>
          <w:p w:rsidR="00E26BE5" w:rsidRDefault="00E26BE5">
            <w:pPr>
              <w:keepNext/>
              <w:adjustRightInd w:val="0"/>
              <w:spacing w:before="48" w:after="48"/>
              <w:jc w:val="center"/>
              <w:rPr>
                <w:rFonts w:ascii="Arial" w:hAnsi="Arial" w:cs="Arial"/>
                <w:b/>
                <w:bCs/>
                <w:color w:val="000000"/>
                <w:sz w:val="18"/>
                <w:szCs w:val="18"/>
              </w:rPr>
            </w:pPr>
          </w:p>
        </w:tc>
        <w:tc>
          <w:tcPr>
            <w:tcW w:w="1431" w:type="dxa"/>
            <w:tcBorders>
              <w:top w:val="nil"/>
              <w:left w:val="single" w:sz="4" w:space="0" w:color="000000"/>
              <w:bottom w:val="single" w:sz="4" w:space="0" w:color="000000"/>
              <w:right w:val="nil"/>
            </w:tcBorders>
            <w:shd w:val="clear" w:color="auto" w:fill="FFFFFF"/>
            <w:tcMar>
              <w:left w:w="48" w:type="dxa"/>
              <w:right w:w="48" w:type="dxa"/>
            </w:tcMar>
            <w:vAlign w:val="center"/>
          </w:tcPr>
          <w:p w:rsidR="00E26BE5" w:rsidRDefault="00E26B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Guadeloupe</w:t>
            </w:r>
          </w:p>
        </w:tc>
        <w:tc>
          <w:tcPr>
            <w:tcW w:w="1431"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E26BE5" w:rsidRDefault="00E26B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E80DF0" w:rsidTr="00B75E30">
        <w:trPr>
          <w:cantSplit/>
        </w:trPr>
        <w:tc>
          <w:tcPr>
            <w:tcW w:w="6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cytogénétique</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E80DF0" w:rsidTr="00B75E30">
        <w:trPr>
          <w:cantSplit/>
        </w:trPr>
        <w:tc>
          <w:tcPr>
            <w:tcW w:w="6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génétique moléculaire</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193</w:t>
            </w:r>
          </w:p>
        </w:tc>
      </w:tr>
      <w:tr w:rsidR="00E80DF0" w:rsidTr="00B75E30">
        <w:trPr>
          <w:cantSplit/>
        </w:trPr>
        <w:tc>
          <w:tcPr>
            <w:tcW w:w="6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non limitée</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E80DF0" w:rsidTr="00B75E30">
        <w:trPr>
          <w:cantSplit/>
        </w:trPr>
        <w:tc>
          <w:tcPr>
            <w:tcW w:w="6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limitée</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67</w:t>
            </w:r>
          </w:p>
        </w:tc>
      </w:tr>
    </w:tbl>
    <w:p w:rsidR="00E80DF0" w:rsidRDefault="00E80DF0">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rsidP="000B467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 xml:space="preserve">Tableau GENPOST3. </w:t>
            </w:r>
            <w:r w:rsidR="000B467E">
              <w:rPr>
                <w:rFonts w:ascii="Arial" w:hAnsi="Arial" w:cs="Arial"/>
                <w:b/>
                <w:bCs/>
                <w:color w:val="000000"/>
              </w:rPr>
              <w:t xml:space="preserve">Aucun </w:t>
            </w:r>
            <w:r w:rsidR="00E26BE5">
              <w:rPr>
                <w:rFonts w:ascii="Arial" w:hAnsi="Arial" w:cs="Arial"/>
                <w:b/>
                <w:bCs/>
                <w:color w:val="000000"/>
              </w:rPr>
              <w:t>examen de cytogénétique postna</w:t>
            </w:r>
            <w:r w:rsidR="000B467E">
              <w:rPr>
                <w:rFonts w:ascii="Arial" w:hAnsi="Arial" w:cs="Arial"/>
                <w:b/>
                <w:bCs/>
                <w:color w:val="000000"/>
              </w:rPr>
              <w:t>tale n’a été réalisé dans l</w:t>
            </w:r>
            <w:r w:rsidR="00E26BE5">
              <w:rPr>
                <w:rFonts w:ascii="Arial" w:hAnsi="Arial" w:cs="Arial"/>
                <w:b/>
                <w:bCs/>
                <w:color w:val="000000"/>
              </w:rPr>
              <w:t>a région Guadeloupe en 2017</w:t>
            </w:r>
          </w:p>
        </w:tc>
      </w:tr>
    </w:tbl>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51"/>
          <w:footerReference w:type="default" r:id="rId52"/>
          <w:type w:val="continuous"/>
          <w:pgSz w:w="11905" w:h="16837"/>
          <w:pgMar w:top="1701" w:right="1417" w:bottom="1134" w:left="1417" w:header="600" w:footer="600" w:gutter="0"/>
          <w:cols w:space="720"/>
        </w:sectPr>
      </w:pPr>
    </w:p>
    <w:p w:rsidR="00E26BE5" w:rsidRDefault="00E26BE5" w:rsidP="00E26BE5">
      <w:pPr>
        <w:adjustRightInd w:val="0"/>
        <w:jc w:val="both"/>
        <w:rPr>
          <w:rFonts w:ascii="Arial" w:hAnsi="Arial" w:cs="Arial"/>
          <w:b/>
          <w:bCs/>
          <w:color w:val="000000"/>
        </w:rPr>
      </w:pPr>
      <w:bookmarkStart w:id="21" w:name="IDX20"/>
      <w:bookmarkEnd w:id="21"/>
    </w:p>
    <w:p w:rsidR="00684888" w:rsidRDefault="00684888" w:rsidP="00E26BE5">
      <w:pPr>
        <w:adjustRightInd w:val="0"/>
        <w:jc w:val="both"/>
        <w:rPr>
          <w:rFonts w:ascii="Arial" w:hAnsi="Arial" w:cs="Arial"/>
          <w:b/>
          <w:bCs/>
          <w:color w:val="000000"/>
        </w:rPr>
      </w:pPr>
      <w:r>
        <w:rPr>
          <w:rFonts w:ascii="Arial" w:hAnsi="Arial" w:cs="Arial"/>
          <w:b/>
          <w:bCs/>
          <w:color w:val="000000"/>
        </w:rPr>
        <w:t xml:space="preserve">Tableau GENPOST4. </w:t>
      </w:r>
      <w:r w:rsidR="000B467E">
        <w:rPr>
          <w:rFonts w:ascii="Arial" w:hAnsi="Arial" w:cs="Arial"/>
          <w:b/>
          <w:bCs/>
          <w:color w:val="000000"/>
        </w:rPr>
        <w:t>Aucune</w:t>
      </w:r>
      <w:r w:rsidR="00E26BE5">
        <w:rPr>
          <w:rFonts w:ascii="Arial" w:hAnsi="Arial" w:cs="Arial"/>
          <w:b/>
          <w:bCs/>
          <w:color w:val="000000"/>
        </w:rPr>
        <w:t xml:space="preserve"> analyse pangénomique</w:t>
      </w:r>
      <w:r w:rsidR="000B467E">
        <w:rPr>
          <w:rFonts w:ascii="Arial" w:hAnsi="Arial" w:cs="Arial"/>
          <w:b/>
          <w:bCs/>
          <w:color w:val="000000"/>
        </w:rPr>
        <w:t xml:space="preserve"> postnatale </w:t>
      </w:r>
      <w:r w:rsidR="00E26BE5">
        <w:rPr>
          <w:rFonts w:ascii="Arial" w:hAnsi="Arial" w:cs="Arial"/>
          <w:b/>
          <w:bCs/>
          <w:color w:val="000000"/>
        </w:rPr>
        <w:t>par ACPA n</w:t>
      </w:r>
      <w:r w:rsidR="000B467E">
        <w:rPr>
          <w:rFonts w:ascii="Arial" w:hAnsi="Arial" w:cs="Arial"/>
          <w:b/>
          <w:bCs/>
          <w:color w:val="000000"/>
        </w:rPr>
        <w:t>’a</w:t>
      </w:r>
      <w:r w:rsidR="00E26BE5">
        <w:rPr>
          <w:rFonts w:ascii="Arial" w:hAnsi="Arial" w:cs="Arial"/>
          <w:b/>
          <w:bCs/>
          <w:color w:val="000000"/>
        </w:rPr>
        <w:t xml:space="preserve"> </w:t>
      </w:r>
      <w:r w:rsidR="000B467E">
        <w:rPr>
          <w:rFonts w:ascii="Arial" w:hAnsi="Arial" w:cs="Arial"/>
          <w:b/>
          <w:bCs/>
          <w:color w:val="000000"/>
        </w:rPr>
        <w:t>été</w:t>
      </w:r>
      <w:r w:rsidR="00E26BE5">
        <w:rPr>
          <w:rFonts w:ascii="Arial" w:hAnsi="Arial" w:cs="Arial"/>
          <w:b/>
          <w:bCs/>
          <w:color w:val="000000"/>
        </w:rPr>
        <w:t xml:space="preserve"> pas réalisée dans la région Guadeloupe en 2017</w:t>
      </w:r>
    </w:p>
    <w:p w:rsidR="00E80DF0" w:rsidRDefault="00E80DF0">
      <w:pPr>
        <w:adjustRightInd w:val="0"/>
        <w:rPr>
          <w:rFonts w:ascii="Arial" w:hAnsi="Arial" w:cs="Arial"/>
          <w:color w:val="000000"/>
          <w:sz w:val="22"/>
          <w:szCs w:val="22"/>
        </w:rPr>
      </w:pPr>
    </w:p>
    <w:p w:rsidR="00E26BE5" w:rsidRDefault="00E26BE5">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53"/>
          <w:footerReference w:type="default" r:id="rId54"/>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b/>
                <w:bCs/>
                <w:color w:val="000000"/>
              </w:rPr>
            </w:pPr>
            <w:bookmarkStart w:id="22" w:name="IDX21"/>
            <w:bookmarkEnd w:id="22"/>
            <w:r>
              <w:rPr>
                <w:rFonts w:ascii="Arial" w:hAnsi="Arial" w:cs="Arial"/>
                <w:b/>
                <w:bCs/>
                <w:color w:val="000000"/>
              </w:rPr>
              <w:t>Tableau GENPOST5. Activité de génétique moléculaire postnatale dans la région Guadeloupe et en France en 2017</w:t>
            </w:r>
          </w:p>
        </w:tc>
      </w:tr>
    </w:tbl>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55"/>
          <w:footerReference w:type="default" r:id="rId56"/>
          <w:type w:val="continuous"/>
          <w:pgSz w:w="11905" w:h="16837"/>
          <w:pgMar w:top="1701" w:right="1417" w:bottom="1134" w:left="1417" w:header="600" w:footer="600" w:gutter="0"/>
          <w:cols w:space="720"/>
        </w:sectPr>
      </w:pPr>
    </w:p>
    <w:tbl>
      <w:tblPr>
        <w:tblW w:w="9054" w:type="dxa"/>
        <w:tblInd w:w="48" w:type="dxa"/>
        <w:tblLayout w:type="fixed"/>
        <w:tblCellMar>
          <w:left w:w="0" w:type="dxa"/>
          <w:right w:w="0" w:type="dxa"/>
        </w:tblCellMar>
        <w:tblLook w:val="0000" w:firstRow="0" w:lastRow="0" w:firstColumn="0" w:lastColumn="0" w:noHBand="0" w:noVBand="0"/>
      </w:tblPr>
      <w:tblGrid>
        <w:gridCol w:w="6184"/>
        <w:gridCol w:w="1435"/>
        <w:gridCol w:w="1435"/>
      </w:tblGrid>
      <w:tr w:rsidR="00E80DF0" w:rsidTr="00B75E30">
        <w:trPr>
          <w:cantSplit/>
          <w:tblHeader/>
        </w:trPr>
        <w:tc>
          <w:tcPr>
            <w:tcW w:w="618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bookmarkStart w:id="23" w:name="IDX22"/>
            <w:bookmarkEnd w:id="23"/>
            <w:r>
              <w:rPr>
                <w:rFonts w:ascii="Arial" w:hAnsi="Arial" w:cs="Arial"/>
                <w:b/>
                <w:bCs/>
                <w:color w:val="000000"/>
                <w:sz w:val="18"/>
                <w:szCs w:val="18"/>
              </w:rPr>
              <w:t>Génétique moléculaire postnatale</w:t>
            </w:r>
          </w:p>
        </w:tc>
        <w:tc>
          <w:tcPr>
            <w:tcW w:w="143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Guadeloupe</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E80DF0" w:rsidTr="00B75E30">
        <w:trPr>
          <w:cantSplit/>
        </w:trPr>
        <w:tc>
          <w:tcPr>
            <w:tcW w:w="6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Nombre d'examens réalisés</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336</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443 438</w:t>
            </w:r>
          </w:p>
        </w:tc>
      </w:tr>
      <w:tr w:rsidR="00E80DF0" w:rsidTr="00B75E30">
        <w:trPr>
          <w:cantSplit/>
        </w:trPr>
        <w:tc>
          <w:tcPr>
            <w:tcW w:w="6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d'examens réalisés en pharmacogénétique</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26BE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26 458</w:t>
            </w:r>
          </w:p>
        </w:tc>
      </w:tr>
      <w:tr w:rsidR="00E80DF0" w:rsidTr="00B75E30">
        <w:trPr>
          <w:cantSplit/>
        </w:trPr>
        <w:tc>
          <w:tcPr>
            <w:tcW w:w="6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Nombre d'individus testés</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191</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410 801</w:t>
            </w:r>
          </w:p>
        </w:tc>
      </w:tr>
      <w:tr w:rsidR="00E80DF0" w:rsidTr="00B75E30">
        <w:trPr>
          <w:cantSplit/>
        </w:trPr>
        <w:tc>
          <w:tcPr>
            <w:tcW w:w="6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d'individus testés en pharmacogénétique</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26BE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22 535</w:t>
            </w:r>
          </w:p>
        </w:tc>
      </w:tr>
      <w:tr w:rsidR="00E80DF0" w:rsidTr="00B75E30">
        <w:trPr>
          <w:cantSplit/>
        </w:trPr>
        <w:tc>
          <w:tcPr>
            <w:tcW w:w="6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Nombre de maladies différentes recherchées</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3 158</w:t>
            </w:r>
          </w:p>
        </w:tc>
      </w:tr>
      <w:tr w:rsidR="00E80DF0" w:rsidTr="00B75E30">
        <w:trPr>
          <w:cantSplit/>
        </w:trPr>
        <w:tc>
          <w:tcPr>
            <w:tcW w:w="6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 maladies différentes recherchées en pharmacogénétique</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DE31A6">
            <w:pPr>
              <w:adjustRightInd w:val="0"/>
              <w:spacing w:before="48" w:after="48"/>
              <w:jc w:val="right"/>
              <w:rPr>
                <w:rFonts w:ascii="Arial" w:hAnsi="Arial" w:cs="Arial"/>
                <w:color w:val="000000"/>
                <w:sz w:val="18"/>
                <w:szCs w:val="18"/>
              </w:rPr>
            </w:pPr>
            <w:r>
              <w:rPr>
                <w:rFonts w:ascii="Arial" w:hAnsi="Arial" w:cs="Arial"/>
                <w:color w:val="000000"/>
                <w:sz w:val="18"/>
                <w:szCs w:val="18"/>
              </w:rPr>
              <w:t>25</w:t>
            </w:r>
          </w:p>
        </w:tc>
      </w:tr>
    </w:tbl>
    <w:p w:rsidR="00E80DF0" w:rsidRDefault="00E80DF0">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GENPOST6. Evolution de l'utilisation des séquenceurs de nouvelle génération (NGS) dans la région Guadeloupe et en France en 2017</w:t>
            </w:r>
          </w:p>
        </w:tc>
      </w:tr>
    </w:tbl>
    <w:p w:rsidR="00E80DF0" w:rsidRDefault="00E80DF0">
      <w:pPr>
        <w:adjustRightInd w:val="0"/>
        <w:rPr>
          <w:rFonts w:ascii="Arial" w:hAnsi="Arial" w:cs="Arial"/>
          <w:color w:val="000000"/>
          <w:sz w:val="22"/>
          <w:szCs w:val="22"/>
        </w:rPr>
      </w:pPr>
    </w:p>
    <w:p w:rsidR="00E80DF0" w:rsidRDefault="00E80DF0">
      <w:pPr>
        <w:adjustRightInd w:val="0"/>
        <w:rPr>
          <w:rFonts w:ascii="Arial" w:hAnsi="Arial" w:cs="Arial"/>
          <w:color w:val="000000"/>
          <w:sz w:val="22"/>
          <w:szCs w:val="22"/>
        </w:rPr>
        <w:sectPr w:rsidR="00E80DF0">
          <w:headerReference w:type="default" r:id="rId57"/>
          <w:footerReference w:type="default" r:id="rId5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193"/>
        <w:gridCol w:w="1128"/>
        <w:gridCol w:w="684"/>
        <w:gridCol w:w="684"/>
        <w:gridCol w:w="684"/>
        <w:gridCol w:w="684"/>
      </w:tblGrid>
      <w:tr w:rsidR="00E80DF0">
        <w:trPr>
          <w:cantSplit/>
          <w:tblHeader/>
        </w:trPr>
        <w:tc>
          <w:tcPr>
            <w:tcW w:w="6321"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E80DF0">
            <w:pPr>
              <w:keepNext/>
              <w:adjustRightInd w:val="0"/>
              <w:spacing w:before="48" w:after="48"/>
              <w:jc w:val="center"/>
              <w:rPr>
                <w:rFonts w:ascii="Arial" w:hAnsi="Arial" w:cs="Arial"/>
                <w:b/>
                <w:bCs/>
                <w:color w:val="000000"/>
                <w:sz w:val="18"/>
                <w:szCs w:val="18"/>
              </w:rPr>
            </w:pPr>
            <w:bookmarkStart w:id="24" w:name="IDX23"/>
            <w:bookmarkEnd w:id="24"/>
          </w:p>
        </w:tc>
        <w:tc>
          <w:tcPr>
            <w:tcW w:w="68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2014</w:t>
            </w:r>
          </w:p>
        </w:tc>
        <w:tc>
          <w:tcPr>
            <w:tcW w:w="68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2015</w:t>
            </w:r>
          </w:p>
        </w:tc>
        <w:tc>
          <w:tcPr>
            <w:tcW w:w="68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2016</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2017</w:t>
            </w:r>
          </w:p>
        </w:tc>
      </w:tr>
      <w:tr w:rsidR="00E80DF0">
        <w:trPr>
          <w:cantSplit/>
        </w:trPr>
        <w:tc>
          <w:tcPr>
            <w:tcW w:w="519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Nombre de laboratoire qui réalisent du séquençage haut débit</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Guadeloupe</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r>
      <w:tr w:rsidR="00E80DF0">
        <w:trPr>
          <w:cantSplit/>
        </w:trPr>
        <w:tc>
          <w:tcPr>
            <w:tcW w:w="519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adjustRightInd w:val="0"/>
              <w:rPr>
                <w:sz w:val="24"/>
                <w:szCs w:val="24"/>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55</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80</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E80DF0">
        <w:trPr>
          <w:cantSplit/>
        </w:trPr>
        <w:tc>
          <w:tcPr>
            <w:tcW w:w="519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Nombre d'examens rendus aux prescripteurs</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rPr>
                <w:rFonts w:ascii="Arial" w:hAnsi="Arial" w:cs="Arial"/>
                <w:color w:val="000000"/>
                <w:sz w:val="18"/>
                <w:szCs w:val="18"/>
              </w:rPr>
            </w:pPr>
            <w:r>
              <w:rPr>
                <w:rFonts w:ascii="Arial" w:hAnsi="Arial" w:cs="Arial"/>
                <w:color w:val="000000"/>
                <w:sz w:val="18"/>
                <w:szCs w:val="18"/>
              </w:rPr>
              <w:t>Guadeloupe</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r>
      <w:tr w:rsidR="00E80DF0">
        <w:trPr>
          <w:cantSplit/>
        </w:trPr>
        <w:tc>
          <w:tcPr>
            <w:tcW w:w="519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E80DF0">
            <w:pPr>
              <w:adjustRightInd w:val="0"/>
              <w:rPr>
                <w:sz w:val="24"/>
                <w:szCs w:val="24"/>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16 979</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36 017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50 965</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0DF0" w:rsidRDefault="00684888">
            <w:pPr>
              <w:adjustRightInd w:val="0"/>
              <w:spacing w:before="48" w:after="48"/>
              <w:jc w:val="right"/>
              <w:rPr>
                <w:rFonts w:ascii="Arial" w:hAnsi="Arial" w:cs="Arial"/>
                <w:color w:val="000000"/>
                <w:sz w:val="18"/>
                <w:szCs w:val="18"/>
              </w:rPr>
            </w:pPr>
            <w:r>
              <w:rPr>
                <w:rFonts w:ascii="Arial" w:hAnsi="Arial" w:cs="Arial"/>
                <w:color w:val="000000"/>
                <w:sz w:val="18"/>
                <w:szCs w:val="18"/>
              </w:rPr>
              <w:t>65 736</w:t>
            </w:r>
          </w:p>
        </w:tc>
      </w:tr>
    </w:tbl>
    <w:p w:rsidR="00E80DF0" w:rsidRDefault="00E80DF0">
      <w:pPr>
        <w:adjustRightInd w:val="0"/>
        <w:rPr>
          <w:rFonts w:ascii="Arial" w:hAnsi="Arial" w:cs="Arial"/>
          <w:color w:val="000000"/>
          <w:sz w:val="18"/>
          <w:szCs w:val="18"/>
        </w:rPr>
      </w:pPr>
    </w:p>
    <w:sectPr w:rsidR="00E80DF0">
      <w:headerReference w:type="default" r:id="rId59"/>
      <w:footerReference w:type="default" r:id="rId60"/>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DF0" w:rsidRDefault="00684888">
      <w:r>
        <w:separator/>
      </w:r>
    </w:p>
  </w:endnote>
  <w:endnote w:type="continuationSeparator" w:id="0">
    <w:p w:rsidR="00E80DF0" w:rsidRDefault="0068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80DF0">
      <w:trPr>
        <w:cantSplit/>
        <w:jc w:val="center"/>
      </w:trPr>
      <w:tc>
        <w:tcPr>
          <w:tcW w:w="9071" w:type="dxa"/>
          <w:tcBorders>
            <w:top w:val="nil"/>
            <w:left w:val="nil"/>
            <w:bottom w:val="nil"/>
            <w:right w:val="nil"/>
          </w:tcBorders>
          <w:shd w:val="clear" w:color="auto" w:fill="FFFFFF"/>
        </w:tcPr>
        <w:p w:rsidR="00E80DF0" w:rsidRDefault="00684888">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0322A">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0322A">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0322A">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0322A">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0322A">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0322A">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F6219">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F6219">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Pr>
              <w:rFonts w:ascii="Arial" w:hAnsi="Arial" w:cs="Arial"/>
              <w:noProof/>
              <w:color w:val="000000"/>
              <w:sz w:val="16"/>
              <w:szCs w:val="16"/>
            </w:rPr>
            <w:t>13</w: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0322A">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0322A">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0322A">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0322A">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E26BE5">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E26BE5">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0322A">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0322A">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0322A">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0322A">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0322A">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0322A">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0322A">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0322A">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684888">
          <w:pPr>
            <w:adjustRightInd w:val="0"/>
            <w:rPr>
              <w:rFonts w:ascii="Arial" w:hAnsi="Arial" w:cs="Arial"/>
              <w:color w:val="000000"/>
              <w:sz w:val="16"/>
              <w:szCs w:val="16"/>
            </w:rPr>
          </w:pPr>
          <w:r>
            <w:rPr>
              <w:rFonts w:ascii="Arial" w:hAnsi="Arial" w:cs="Arial"/>
              <w:color w:val="000000"/>
              <w:sz w:val="16"/>
              <w:szCs w:val="16"/>
            </w:rPr>
            <w:t>Guadeloupe</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DF0" w:rsidRDefault="00684888">
      <w:r>
        <w:separator/>
      </w:r>
    </w:p>
  </w:footnote>
  <w:footnote w:type="continuationSeparator" w:id="0">
    <w:p w:rsidR="00E80DF0" w:rsidRDefault="0068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F0" w:rsidRDefault="00E80DF0">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SOMMAIRE</w:t>
          </w:r>
        </w:p>
      </w:tc>
    </w:tr>
  </w:tbl>
  <w:p w:rsidR="00E80DF0" w:rsidRDefault="00E80DF0">
    <w:pPr>
      <w:adjustRightInd w:val="0"/>
      <w:rPr>
        <w:rFonts w:ascii="Arial" w:hAnsi="Arial" w:cs="Arial"/>
        <w:color w:val="000000"/>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E80DF0" w:rsidRDefault="00E80DF0">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Particularité de la région Guadeloupe</w:t>
          </w:r>
        </w:p>
      </w:tc>
    </w:tr>
  </w:tbl>
  <w:p w:rsidR="00E80DF0" w:rsidRDefault="00E80DF0">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Particularité de la région Guadeloupe</w:t>
          </w:r>
        </w:p>
      </w:tc>
    </w:tr>
  </w:tbl>
  <w:p w:rsidR="00E80DF0" w:rsidRDefault="00E80DF0">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80DF0">
      <w:trPr>
        <w:cantSplit/>
        <w:jc w:val="center"/>
      </w:trPr>
      <w:tc>
        <w:tcPr>
          <w:tcW w:w="4535" w:type="dxa"/>
          <w:tcBorders>
            <w:top w:val="nil"/>
            <w:left w:val="nil"/>
            <w:bottom w:val="nil"/>
            <w:right w:val="nil"/>
          </w:tcBorders>
          <w:shd w:val="clear" w:color="auto" w:fill="FFFFFF"/>
        </w:tcPr>
        <w:p w:rsidR="00E80DF0" w:rsidRDefault="0083112F">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8488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80DF0" w:rsidRDefault="0068488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80DF0" w:rsidRDefault="00E80DF0">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2F"/>
    <w:rsid w:val="0005510F"/>
    <w:rsid w:val="000B467E"/>
    <w:rsid w:val="0010322A"/>
    <w:rsid w:val="001050F9"/>
    <w:rsid w:val="00126842"/>
    <w:rsid w:val="00143D09"/>
    <w:rsid w:val="002E0894"/>
    <w:rsid w:val="00423AB6"/>
    <w:rsid w:val="00497C80"/>
    <w:rsid w:val="004E20FB"/>
    <w:rsid w:val="005C6438"/>
    <w:rsid w:val="005F6219"/>
    <w:rsid w:val="00684888"/>
    <w:rsid w:val="006E5911"/>
    <w:rsid w:val="0083112F"/>
    <w:rsid w:val="00897C4C"/>
    <w:rsid w:val="008B664D"/>
    <w:rsid w:val="008C34D1"/>
    <w:rsid w:val="00924B7D"/>
    <w:rsid w:val="009C1F80"/>
    <w:rsid w:val="00AA3C5E"/>
    <w:rsid w:val="00B75E30"/>
    <w:rsid w:val="00B81BF2"/>
    <w:rsid w:val="00DE31A6"/>
    <w:rsid w:val="00E26BE5"/>
    <w:rsid w:val="00E80DF0"/>
    <w:rsid w:val="00FB36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84D732-021C-4310-867D-A2056837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1629">
      <w:bodyDiv w:val="1"/>
      <w:marLeft w:val="0"/>
      <w:marRight w:val="0"/>
      <w:marTop w:val="0"/>
      <w:marBottom w:val="0"/>
      <w:divBdr>
        <w:top w:val="none" w:sz="0" w:space="0" w:color="auto"/>
        <w:left w:val="none" w:sz="0" w:space="0" w:color="auto"/>
        <w:bottom w:val="none" w:sz="0" w:space="0" w:color="auto"/>
        <w:right w:val="none" w:sz="0" w:space="0" w:color="auto"/>
      </w:divBdr>
    </w:div>
    <w:div w:id="1109348440">
      <w:bodyDiv w:val="1"/>
      <w:marLeft w:val="0"/>
      <w:marRight w:val="0"/>
      <w:marTop w:val="0"/>
      <w:marBottom w:val="0"/>
      <w:divBdr>
        <w:top w:val="none" w:sz="0" w:space="0" w:color="auto"/>
        <w:left w:val="none" w:sz="0" w:space="0" w:color="auto"/>
        <w:bottom w:val="none" w:sz="0" w:space="0" w:color="auto"/>
        <w:right w:val="none" w:sz="0" w:space="0" w:color="auto"/>
      </w:divBdr>
    </w:div>
    <w:div w:id="1462337430">
      <w:bodyDiv w:val="1"/>
      <w:marLeft w:val="0"/>
      <w:marRight w:val="0"/>
      <w:marTop w:val="0"/>
      <w:marBottom w:val="0"/>
      <w:divBdr>
        <w:top w:val="none" w:sz="0" w:space="0" w:color="auto"/>
        <w:left w:val="none" w:sz="0" w:space="0" w:color="auto"/>
        <w:bottom w:val="none" w:sz="0" w:space="0" w:color="auto"/>
        <w:right w:val="none" w:sz="0" w:space="0" w:color="auto"/>
      </w:divBdr>
    </w:div>
    <w:div w:id="17900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chart" Target="charts/chart2.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hart" Target="charts/chart1.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690F-4929-B9F5-5BD070FEC622}"/>
              </c:ext>
            </c:extLst>
          </c:dPt>
          <c:dPt>
            <c:idx val="4"/>
            <c:invertIfNegative val="0"/>
            <c:bubble3D val="0"/>
            <c:spPr>
              <a:solidFill>
                <a:srgbClr val="00B0F0"/>
              </a:solidFill>
              <a:ln>
                <a:noFill/>
              </a:ln>
              <a:effectLst/>
            </c:spPr>
            <c:extLst>
              <c:ext xmlns:c16="http://schemas.microsoft.com/office/drawing/2014/chart" uri="{C3380CC4-5D6E-409C-BE32-E72D297353CC}">
                <c16:uniqueId val="{00000003-690F-4929-B9F5-5BD070FEC622}"/>
              </c:ext>
            </c:extLst>
          </c:dPt>
          <c:dPt>
            <c:idx val="5"/>
            <c:invertIfNegative val="0"/>
            <c:bubble3D val="0"/>
            <c:spPr>
              <a:solidFill>
                <a:srgbClr val="00B0F0"/>
              </a:solidFill>
              <a:ln>
                <a:noFill/>
              </a:ln>
              <a:effectLst/>
            </c:spPr>
            <c:extLst>
              <c:ext xmlns:c16="http://schemas.microsoft.com/office/drawing/2014/chart" uri="{C3380CC4-5D6E-409C-BE32-E72D297353CC}">
                <c16:uniqueId val="{00000005-690F-4929-B9F5-5BD070FEC622}"/>
              </c:ext>
            </c:extLst>
          </c:dPt>
          <c:dPt>
            <c:idx val="6"/>
            <c:invertIfNegative val="0"/>
            <c:bubble3D val="0"/>
            <c:spPr>
              <a:solidFill>
                <a:srgbClr val="00B0F0"/>
              </a:solidFill>
              <a:ln>
                <a:noFill/>
              </a:ln>
              <a:effectLst/>
            </c:spPr>
            <c:extLst>
              <c:ext xmlns:c16="http://schemas.microsoft.com/office/drawing/2014/chart" uri="{C3380CC4-5D6E-409C-BE32-E72D297353CC}">
                <c16:uniqueId val="{00000007-690F-4929-B9F5-5BD070FEC622}"/>
              </c:ext>
            </c:extLst>
          </c:dPt>
          <c:dPt>
            <c:idx val="7"/>
            <c:invertIfNegative val="0"/>
            <c:bubble3D val="0"/>
            <c:spPr>
              <a:solidFill>
                <a:srgbClr val="00B0F0"/>
              </a:solidFill>
              <a:ln>
                <a:noFill/>
              </a:ln>
              <a:effectLst/>
            </c:spPr>
            <c:extLst>
              <c:ext xmlns:c16="http://schemas.microsoft.com/office/drawing/2014/chart" uri="{C3380CC4-5D6E-409C-BE32-E72D297353CC}">
                <c16:uniqueId val="{00000009-690F-4929-B9F5-5BD070FEC622}"/>
              </c:ext>
            </c:extLst>
          </c:dPt>
          <c:dPt>
            <c:idx val="8"/>
            <c:invertIfNegative val="0"/>
            <c:bubble3D val="0"/>
            <c:spPr>
              <a:solidFill>
                <a:srgbClr val="00B0F0"/>
              </a:solidFill>
              <a:ln>
                <a:noFill/>
              </a:ln>
              <a:effectLst/>
            </c:spPr>
            <c:extLst>
              <c:ext xmlns:c16="http://schemas.microsoft.com/office/drawing/2014/chart" uri="{C3380CC4-5D6E-409C-BE32-E72D297353CC}">
                <c16:uniqueId val="{0000000B-690F-4929-B9F5-5BD070FEC622}"/>
              </c:ext>
            </c:extLst>
          </c:dPt>
          <c:dPt>
            <c:idx val="13"/>
            <c:invertIfNegative val="0"/>
            <c:bubble3D val="0"/>
            <c:spPr>
              <a:solidFill>
                <a:srgbClr val="00B0F0"/>
              </a:solidFill>
              <a:ln>
                <a:noFill/>
              </a:ln>
              <a:effectLst/>
            </c:spPr>
            <c:extLst>
              <c:ext xmlns:c16="http://schemas.microsoft.com/office/drawing/2014/chart" uri="{C3380CC4-5D6E-409C-BE32-E72D297353CC}">
                <c16:uniqueId val="{0000000D-690F-4929-B9F5-5BD070FEC622}"/>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690F-4929-B9F5-5BD070FEC622}"/>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690F-4929-B9F5-5BD070FEC622}"/>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DC87-4D4B-AB28-F64EF52A8445}"/>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DC87-4D4B-AB28-F64EF52A8445}"/>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DC87-4D4B-AB28-F64EF52A8445}"/>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DC87-4D4B-AB28-F64EF52A8445}"/>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DC87-4D4B-AB28-F64EF52A8445}"/>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DC87-4D4B-AB28-F64EF52A8445}"/>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DC87-4D4B-AB28-F64EF52A8445}"/>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DC87-4D4B-AB28-F64EF52A8445}"/>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DC87-4D4B-AB28-F64EF52A8445}"/>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DC87-4D4B-AB28-F64EF52A8445}"/>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DC87-4D4B-AB28-F64EF52A8445}"/>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DC87-4D4B-AB28-F64EF52A8445}"/>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DC87-4D4B-AB28-F64EF52A8445}"/>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DC87-4D4B-AB28-F64EF52A8445}"/>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DC87-4D4B-AB28-F64EF52A8445}"/>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DC87-4D4B-AB28-F64EF52A8445}"/>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DC87-4D4B-AB28-F64EF52A8445}"/>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DC87-4D4B-AB28-F64EF52A8445}"/>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14</Pages>
  <Words>4065</Words>
  <Characters>23278</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2</cp:revision>
  <dcterms:created xsi:type="dcterms:W3CDTF">2019-09-05T15:01:00Z</dcterms:created>
  <dcterms:modified xsi:type="dcterms:W3CDTF">2019-09-05T15:01:00Z</dcterms:modified>
</cp:coreProperties>
</file>